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85" w:rsidRDefault="006370F6" w:rsidP="006370F6">
      <w:pPr>
        <w:pStyle w:val="a3"/>
        <w:shd w:val="clear" w:color="auto" w:fill="FFFFFF"/>
        <w:jc w:val="center"/>
        <w:rPr>
          <w:rStyle w:val="a4"/>
          <w:color w:val="333333"/>
        </w:rPr>
      </w:pPr>
      <w:r w:rsidRPr="006370F6">
        <w:rPr>
          <w:rStyle w:val="a4"/>
          <w:color w:val="333333"/>
        </w:rPr>
        <w:t xml:space="preserve">Основные положения учётной политики </w:t>
      </w:r>
    </w:p>
    <w:p w:rsidR="00955B85" w:rsidRDefault="00A449EB" w:rsidP="006370F6">
      <w:pPr>
        <w:pStyle w:val="a3"/>
        <w:shd w:val="clear" w:color="auto" w:fill="FFFFFF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Контрольно-счётной комиссии</w:t>
      </w:r>
      <w:r w:rsidR="006370F6" w:rsidRPr="006370F6">
        <w:rPr>
          <w:rStyle w:val="a4"/>
          <w:color w:val="333333"/>
        </w:rPr>
        <w:t xml:space="preserve"> </w:t>
      </w:r>
      <w:r w:rsidR="006370F6">
        <w:rPr>
          <w:rStyle w:val="a4"/>
          <w:color w:val="333333"/>
        </w:rPr>
        <w:t>Новоуральского городского округа</w:t>
      </w:r>
      <w:r w:rsidR="006370F6" w:rsidRPr="006370F6">
        <w:rPr>
          <w:rStyle w:val="a4"/>
          <w:color w:val="333333"/>
        </w:rPr>
        <w:t> </w:t>
      </w:r>
    </w:p>
    <w:p w:rsidR="006370F6" w:rsidRPr="006370F6" w:rsidRDefault="006370F6" w:rsidP="006370F6">
      <w:pPr>
        <w:pStyle w:val="a3"/>
        <w:shd w:val="clear" w:color="auto" w:fill="FFFFFF"/>
        <w:jc w:val="center"/>
        <w:rPr>
          <w:color w:val="333333"/>
        </w:rPr>
      </w:pPr>
      <w:r w:rsidRPr="006370F6">
        <w:rPr>
          <w:rStyle w:val="a4"/>
          <w:color w:val="333333"/>
        </w:rPr>
        <w:t>для целей бюджетного учета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A449EB">
        <w:rPr>
          <w:color w:val="333333"/>
        </w:rPr>
        <w:t xml:space="preserve">Учетная политика </w:t>
      </w:r>
      <w:r w:rsidR="00A449EB" w:rsidRPr="00A449EB">
        <w:rPr>
          <w:bCs/>
        </w:rPr>
        <w:t xml:space="preserve">Контрольно-счётной комиссии </w:t>
      </w:r>
      <w:r w:rsidRPr="00A449EB">
        <w:rPr>
          <w:color w:val="333333"/>
        </w:rPr>
        <w:t>Новоуральского</w:t>
      </w:r>
      <w:r>
        <w:rPr>
          <w:color w:val="333333"/>
        </w:rPr>
        <w:t xml:space="preserve"> городского округа </w:t>
      </w:r>
      <w:r w:rsidRPr="006370F6">
        <w:rPr>
          <w:color w:val="333333"/>
        </w:rPr>
        <w:t>(далее – Учетная политика) предназначена для формирования полной и достоверной информации о финансовом, имущественном положении и финансовых результатах деятельности  Думы Н</w:t>
      </w:r>
      <w:r>
        <w:rPr>
          <w:color w:val="333333"/>
        </w:rPr>
        <w:t>овоуральского городского округа</w:t>
      </w:r>
      <w:r w:rsidRPr="006370F6">
        <w:rPr>
          <w:color w:val="333333"/>
        </w:rPr>
        <w:t xml:space="preserve"> (далее – учреждение) и  разработана в соответствии с приказами Минфина России: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 157н);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от 6 декабря 2010 г. № 162н «Об утверждении Плана счетов бюджетного учета и Инструкции по его применению» (далее – Инструкция № 162н);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от 30 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приказ № 52н).</w:t>
      </w:r>
    </w:p>
    <w:p w:rsidR="006370F6" w:rsidRPr="006370F6" w:rsidRDefault="00022E9C" w:rsidP="006370F6">
      <w:pPr>
        <w:pStyle w:val="a3"/>
        <w:shd w:val="clear" w:color="auto" w:fill="FFFFFF"/>
        <w:jc w:val="both"/>
        <w:rPr>
          <w:color w:val="333333"/>
        </w:rPr>
      </w:pPr>
      <w:hyperlink r:id="rId5" w:anchor="/document/99/560411832/" w:history="1">
        <w:r w:rsidR="006370F6" w:rsidRPr="006370F6">
          <w:rPr>
            <w:rStyle w:val="a5"/>
            <w:color w:val="3C4886"/>
          </w:rPr>
          <w:t>от 06.06.2019 № 85н</w:t>
        </w:r>
      </w:hyperlink>
      <w:r w:rsidR="006370F6" w:rsidRPr="006370F6">
        <w:rPr>
          <w:color w:val="333333"/>
        </w:rPr>
        <w:t> 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6370F6" w:rsidRPr="006370F6" w:rsidRDefault="00022E9C" w:rsidP="006370F6">
      <w:pPr>
        <w:pStyle w:val="a3"/>
        <w:shd w:val="clear" w:color="auto" w:fill="FFFFFF"/>
        <w:jc w:val="both"/>
        <w:rPr>
          <w:color w:val="333333"/>
        </w:rPr>
      </w:pPr>
      <w:hyperlink r:id="rId6" w:anchor="/document/99/555944502/" w:history="1">
        <w:r w:rsidR="006370F6" w:rsidRPr="006370F6">
          <w:rPr>
            <w:rStyle w:val="a5"/>
            <w:color w:val="3C4886"/>
          </w:rPr>
          <w:t>от 29.11.2017 № 209н</w:t>
        </w:r>
      </w:hyperlink>
      <w:r w:rsidR="006370F6" w:rsidRPr="006370F6">
        <w:rPr>
          <w:color w:val="333333"/>
        </w:rPr>
        <w:t xml:space="preserve"> «Об утверждении </w:t>
      </w:r>
      <w:proofErr w:type="gramStart"/>
      <w:r w:rsidR="006370F6" w:rsidRPr="006370F6">
        <w:rPr>
          <w:color w:val="333333"/>
        </w:rPr>
        <w:t>Порядка применения классификации операций сектора государственного</w:t>
      </w:r>
      <w:proofErr w:type="gramEnd"/>
      <w:r w:rsidR="006370F6" w:rsidRPr="006370F6">
        <w:rPr>
          <w:color w:val="333333"/>
        </w:rPr>
        <w:t xml:space="preserve"> управления» (далее – приказ № 209н);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257н, № 258н, № 259н, № 260н 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отчетности»);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от 30.12.2017 </w:t>
      </w:r>
      <w:hyperlink r:id="rId7" w:anchor="/document/99/542618106/" w:history="1">
        <w:r w:rsidRPr="006370F6">
          <w:rPr>
            <w:rStyle w:val="a5"/>
            <w:color w:val="3C4886"/>
          </w:rPr>
          <w:t>№ 274н</w:t>
        </w:r>
      </w:hyperlink>
      <w:r w:rsidRPr="006370F6">
        <w:rPr>
          <w:color w:val="333333"/>
        </w:rPr>
        <w:t>, </w:t>
      </w:r>
      <w:hyperlink r:id="rId8" w:anchor="/document/99/542618140/" w:history="1">
        <w:r w:rsidRPr="006370F6">
          <w:rPr>
            <w:rStyle w:val="a5"/>
            <w:color w:val="3C4886"/>
          </w:rPr>
          <w:t>275н</w:t>
        </w:r>
      </w:hyperlink>
      <w:r w:rsidRPr="006370F6">
        <w:rPr>
          <w:color w:val="333333"/>
        </w:rPr>
        <w:t>, </w:t>
      </w:r>
      <w:hyperlink r:id="rId9" w:anchor="/document/99/542618111/" w:history="1">
        <w:r w:rsidRPr="006370F6">
          <w:rPr>
            <w:rStyle w:val="a5"/>
            <w:color w:val="3C4886"/>
          </w:rPr>
          <w:t>278н</w:t>
        </w:r>
      </w:hyperlink>
      <w:r w:rsidRPr="006370F6">
        <w:rPr>
          <w:color w:val="333333"/>
        </w:rPr>
        <w:t> 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 </w:t>
      </w:r>
      <w:hyperlink r:id="rId10" w:anchor="/document/99/542627357/" w:history="1">
        <w:r w:rsidRPr="006370F6">
          <w:rPr>
            <w:rStyle w:val="a5"/>
            <w:color w:val="3C4886"/>
          </w:rPr>
          <w:t>№ 124н</w:t>
        </w:r>
      </w:hyperlink>
      <w:r w:rsidRPr="006370F6">
        <w:rPr>
          <w:color w:val="333333"/>
        </w:rPr>
        <w:t> (далее – соответственно СГС «Влияние изменений курсов иностранных валют», СГС «Резервы»), </w:t>
      </w:r>
      <w:hyperlink r:id="rId11" w:anchor="/document/99/542638393/" w:history="1">
        <w:r w:rsidRPr="006370F6">
          <w:rPr>
            <w:rStyle w:val="a5"/>
            <w:color w:val="3C4886"/>
          </w:rPr>
          <w:t>от 07.12.2018 № 256н</w:t>
        </w:r>
      </w:hyperlink>
      <w:r w:rsidRPr="006370F6">
        <w:rPr>
          <w:color w:val="333333"/>
        </w:rPr>
        <w:t> (далее – СГС «Запасы»), </w:t>
      </w:r>
      <w:hyperlink r:id="rId12" w:anchor="/document/99/542631865/" w:history="1">
        <w:r w:rsidRPr="006370F6">
          <w:rPr>
            <w:rStyle w:val="a5"/>
            <w:color w:val="3C4886"/>
          </w:rPr>
          <w:t>от 29.06.2018 № 145н </w:t>
        </w:r>
      </w:hyperlink>
      <w:r w:rsidRPr="006370F6">
        <w:rPr>
          <w:color w:val="333333"/>
        </w:rPr>
        <w:t>(далее – СГС «Долгосрочные договоры»);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 xml:space="preserve">от 30.06.2020 № 129н «Финансовые инструменты», от 15.11.2019 № 181н «Нематериальные активы», 182н «Затраты по заимствованиям», 183н «Совместная деятельность», 184н «Выплаты персоналу», от 30.12.2017 № 277н «Информация о связанных сторонах» (далее – соответственно СГС ««Нематериальные активы», СГК </w:t>
      </w:r>
      <w:r w:rsidRPr="006370F6">
        <w:rPr>
          <w:color w:val="333333"/>
        </w:rPr>
        <w:lastRenderedPageBreak/>
        <w:t>«Затраты по заимствованиям», СГК «Совместная деятельность», СГК «Выплаты персоналу», СГК «Информация о связанных сторонах»</w:t>
      </w:r>
      <w:r>
        <w:rPr>
          <w:color w:val="333333"/>
        </w:rPr>
        <w:t>)</w:t>
      </w:r>
      <w:r w:rsidRPr="006370F6">
        <w:rPr>
          <w:color w:val="333333"/>
        </w:rPr>
        <w:t>.</w:t>
      </w:r>
    </w:p>
    <w:p w:rsidR="006370F6" w:rsidRPr="006370F6" w:rsidRDefault="006370F6" w:rsidP="00955B85">
      <w:pPr>
        <w:pStyle w:val="a3"/>
        <w:shd w:val="clear" w:color="auto" w:fill="FFFFFF"/>
        <w:rPr>
          <w:color w:val="333333"/>
        </w:rPr>
      </w:pPr>
      <w:r w:rsidRPr="006370F6">
        <w:rPr>
          <w:color w:val="333333"/>
        </w:rPr>
        <w:t> Учетная политика соответствует Стандарту «Учетная политика, оценочные значения и ошибки» и содержит:     </w:t>
      </w:r>
      <w:proofErr w:type="gramStart"/>
      <w:r w:rsidRPr="006370F6">
        <w:rPr>
          <w:color w:val="333333"/>
        </w:rPr>
        <w:br/>
        <w:t>-</w:t>
      </w:r>
      <w:proofErr w:type="gramEnd"/>
      <w:r w:rsidRPr="006370F6">
        <w:rPr>
          <w:color w:val="333333"/>
        </w:rPr>
        <w:t>Методы оценки объектов бухгалтерского учета, порядок их постановки на учет и выбытия из учета. </w:t>
      </w:r>
      <w:r w:rsidRPr="006370F6">
        <w:rPr>
          <w:color w:val="333333"/>
        </w:rPr>
        <w:br/>
        <w:t>-Рабочий план счетов бухгалтерского учета.    </w:t>
      </w:r>
      <w:r w:rsidRPr="006370F6">
        <w:rPr>
          <w:color w:val="333333"/>
        </w:rPr>
        <w:br/>
        <w:t xml:space="preserve">-Порядок проведения инвентаризации активов, имущества, учитываемого на </w:t>
      </w:r>
      <w:proofErr w:type="spellStart"/>
      <w:r w:rsidRPr="006370F6">
        <w:rPr>
          <w:color w:val="333333"/>
        </w:rPr>
        <w:t>забалансовых</w:t>
      </w:r>
      <w:proofErr w:type="spellEnd"/>
      <w:r w:rsidRPr="006370F6">
        <w:rPr>
          <w:color w:val="333333"/>
        </w:rPr>
        <w:t xml:space="preserve"> счетах, обязательств, иных объектов.       </w:t>
      </w:r>
      <w:r w:rsidRPr="006370F6">
        <w:rPr>
          <w:color w:val="333333"/>
        </w:rPr>
        <w:br/>
        <w:t>-Формы первичных (сводных) учетных документов, регистров учета и иных документов, которыми оформляют факты хозяйственной жизни.           </w:t>
      </w:r>
      <w:r w:rsidRPr="006370F6">
        <w:rPr>
          <w:color w:val="333333"/>
        </w:rPr>
        <w:br/>
        <w:t>-Правила и график документооборота, технология обработки учетной информации.       </w:t>
      </w:r>
      <w:proofErr w:type="gramStart"/>
      <w:r w:rsidRPr="006370F6">
        <w:rPr>
          <w:color w:val="333333"/>
        </w:rPr>
        <w:br/>
        <w:t>-</w:t>
      </w:r>
      <w:proofErr w:type="gramEnd"/>
      <w:r w:rsidRPr="006370F6">
        <w:rPr>
          <w:color w:val="333333"/>
        </w:rPr>
        <w:t>Порядок организации и обеспечения (осуществления) внутреннего контроля      </w:t>
      </w:r>
      <w:r w:rsidRPr="006370F6">
        <w:rPr>
          <w:color w:val="333333"/>
        </w:rPr>
        <w:br/>
        <w:t>-Порядок признания в учете и раскрытия в отчетности событий после отчетной даты.    </w:t>
      </w:r>
      <w:r w:rsidRPr="006370F6">
        <w:rPr>
          <w:color w:val="333333"/>
        </w:rPr>
        <w:br/>
        <w:t>-Иные необходимые способы ведения бухгалтерского учета. </w:t>
      </w:r>
    </w:p>
    <w:p w:rsid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Ответственным за ведение бюджетного учета в учреждении является бухгалтер</w:t>
      </w:r>
      <w:r w:rsidR="00A449EB">
        <w:rPr>
          <w:color w:val="333333"/>
        </w:rPr>
        <w:t>, привлекаемый к оказанию бухгалтерских услуг по договору гражданско-правового характера</w:t>
      </w:r>
      <w:r w:rsidRPr="006370F6">
        <w:rPr>
          <w:color w:val="333333"/>
        </w:rPr>
        <w:t>.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Бухучет в учреждении ведется в электронном виде с применением программных продуктов «1С</w:t>
      </w:r>
      <w:proofErr w:type="gramStart"/>
      <w:r w:rsidRPr="006370F6">
        <w:rPr>
          <w:color w:val="333333"/>
        </w:rPr>
        <w:t>:П</w:t>
      </w:r>
      <w:proofErr w:type="gramEnd"/>
      <w:r w:rsidRPr="006370F6">
        <w:rPr>
          <w:color w:val="333333"/>
        </w:rPr>
        <w:t>редприятие» Бухгалтерия государственного учреждения, 1С: «Зарплата и кадры бюджетного учреждения».      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Бухгалтерия учреждения осуществляет электронный документооборот с использованием телекоммуникационных каналов связи и электронной подписи по следующим направлениям:</w:t>
      </w:r>
    </w:p>
    <w:p w:rsidR="006370F6" w:rsidRPr="006370F6" w:rsidRDefault="006370F6" w:rsidP="006370F6">
      <w:pPr>
        <w:pStyle w:val="a3"/>
        <w:shd w:val="clear" w:color="auto" w:fill="FFFFFF"/>
        <w:rPr>
          <w:color w:val="333333"/>
        </w:rPr>
      </w:pPr>
      <w:r w:rsidRPr="006370F6">
        <w:rPr>
          <w:color w:val="333333"/>
        </w:rPr>
        <w:t>система электронного документооборота с федеральным органом Казначейства России;           </w:t>
      </w:r>
      <w:r w:rsidRPr="006370F6">
        <w:rPr>
          <w:color w:val="333333"/>
        </w:rPr>
        <w:br/>
        <w:t>передача б</w:t>
      </w:r>
      <w:r w:rsidR="0002710B">
        <w:rPr>
          <w:color w:val="333333"/>
        </w:rPr>
        <w:t xml:space="preserve">юджетной </w:t>
      </w:r>
      <w:r w:rsidRPr="006370F6">
        <w:rPr>
          <w:color w:val="333333"/>
        </w:rPr>
        <w:t xml:space="preserve">отчетности в </w:t>
      </w:r>
      <w:r w:rsidR="0002710B">
        <w:rPr>
          <w:color w:val="333333"/>
        </w:rPr>
        <w:t>Финансовое управление Новоуральского городского округа</w:t>
      </w:r>
      <w:r w:rsidRPr="006370F6">
        <w:rPr>
          <w:color w:val="333333"/>
        </w:rPr>
        <w:t>;           </w:t>
      </w:r>
      <w:r w:rsidRPr="006370F6">
        <w:rPr>
          <w:color w:val="333333"/>
        </w:rPr>
        <w:br/>
        <w:t>передача отчетности по налогам, сборам, страховым взносам и иным обязательным платежам в инспекцию Федеральной налоговой службы;           </w:t>
      </w:r>
      <w:r w:rsidRPr="006370F6">
        <w:rPr>
          <w:color w:val="333333"/>
        </w:rPr>
        <w:br/>
        <w:t xml:space="preserve">передача отчетности в </w:t>
      </w:r>
      <w:r w:rsidR="0002710B">
        <w:rPr>
          <w:color w:val="333333"/>
        </w:rPr>
        <w:t>С</w:t>
      </w:r>
      <w:r w:rsidR="0002710B" w:rsidRPr="006370F6">
        <w:rPr>
          <w:color w:val="333333"/>
        </w:rPr>
        <w:t>оциальн</w:t>
      </w:r>
      <w:r w:rsidR="0002710B">
        <w:rPr>
          <w:color w:val="333333"/>
        </w:rPr>
        <w:t xml:space="preserve">ый </w:t>
      </w:r>
      <w:r w:rsidR="0002710B" w:rsidRPr="006370F6">
        <w:rPr>
          <w:color w:val="333333"/>
        </w:rPr>
        <w:t xml:space="preserve"> </w:t>
      </w:r>
      <w:r w:rsidRPr="006370F6">
        <w:rPr>
          <w:color w:val="333333"/>
        </w:rPr>
        <w:t>фонд России;           </w:t>
      </w:r>
      <w:r w:rsidRPr="006370F6">
        <w:rPr>
          <w:color w:val="333333"/>
        </w:rPr>
        <w:br/>
        <w:t>передача отчетности в Росстат</w:t>
      </w:r>
      <w:r w:rsidR="0002710B">
        <w:rPr>
          <w:color w:val="333333"/>
        </w:rPr>
        <w:t xml:space="preserve">. </w:t>
      </w:r>
    </w:p>
    <w:p w:rsidR="0002710B" w:rsidRDefault="006370F6" w:rsidP="0002710B">
      <w:pPr>
        <w:rPr>
          <w:rFonts w:hAnsi="Times New Roman" w:cs="Times New Roman"/>
          <w:color w:val="000000"/>
          <w:sz w:val="24"/>
          <w:szCs w:val="24"/>
        </w:rPr>
      </w:pPr>
      <w:r w:rsidRPr="006370F6">
        <w:rPr>
          <w:rFonts w:ascii="Times New Roman" w:hAnsi="Times New Roman" w:cs="Times New Roman"/>
          <w:color w:val="333333"/>
          <w:sz w:val="24"/>
          <w:szCs w:val="24"/>
        </w:rPr>
        <w:t xml:space="preserve">Учреждение осуществляет бюджетные полномочия главного </w:t>
      </w:r>
      <w:r w:rsidR="0002710B">
        <w:rPr>
          <w:rFonts w:hAnsi="Times New Roman" w:cs="Times New Roman"/>
          <w:color w:val="000000"/>
          <w:sz w:val="24"/>
          <w:szCs w:val="24"/>
        </w:rPr>
        <w:t>распорядителя</w:t>
      </w:r>
      <w:r w:rsidR="000271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710B">
        <w:rPr>
          <w:rFonts w:hAnsi="Times New Roman" w:cs="Times New Roman"/>
          <w:color w:val="000000"/>
          <w:sz w:val="24"/>
          <w:szCs w:val="24"/>
        </w:rPr>
        <w:t>бюджетных</w:t>
      </w:r>
      <w:r w:rsidR="000271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710B">
        <w:rPr>
          <w:rFonts w:hAnsi="Times New Roman" w:cs="Times New Roman"/>
          <w:color w:val="000000"/>
          <w:sz w:val="24"/>
          <w:szCs w:val="24"/>
        </w:rPr>
        <w:t>средств</w:t>
      </w:r>
      <w:r w:rsidR="0002710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02710B">
        <w:rPr>
          <w:rFonts w:hAnsi="Times New Roman" w:cs="Times New Roman"/>
          <w:color w:val="000000"/>
          <w:sz w:val="24"/>
          <w:szCs w:val="24"/>
        </w:rPr>
        <w:t>получателя</w:t>
      </w:r>
      <w:r w:rsidR="000271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710B">
        <w:rPr>
          <w:rFonts w:hAnsi="Times New Roman" w:cs="Times New Roman"/>
          <w:color w:val="000000"/>
          <w:sz w:val="24"/>
          <w:szCs w:val="24"/>
        </w:rPr>
        <w:t>бюджетных</w:t>
      </w:r>
      <w:r w:rsidR="000271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710B">
        <w:rPr>
          <w:rFonts w:hAnsi="Times New Roman" w:cs="Times New Roman"/>
          <w:color w:val="000000"/>
          <w:sz w:val="24"/>
          <w:szCs w:val="24"/>
        </w:rPr>
        <w:t>средств</w:t>
      </w:r>
      <w:r w:rsidR="0002710B">
        <w:rPr>
          <w:rFonts w:hAnsi="Times New Roman" w:cs="Times New Roman"/>
          <w:color w:val="000000"/>
          <w:sz w:val="24"/>
          <w:szCs w:val="24"/>
        </w:rPr>
        <w:t>.</w:t>
      </w:r>
    </w:p>
    <w:p w:rsidR="006370F6" w:rsidRPr="006370F6" w:rsidRDefault="006370F6" w:rsidP="006370F6">
      <w:pPr>
        <w:pStyle w:val="a3"/>
        <w:shd w:val="clear" w:color="auto" w:fill="FFFFFF"/>
        <w:rPr>
          <w:color w:val="333333"/>
        </w:rPr>
      </w:pPr>
      <w:r w:rsidRPr="006370F6">
        <w:rPr>
          <w:color w:val="333333"/>
        </w:rPr>
        <w:t xml:space="preserve">Бюджетный учет ведется в разрезе разделов, подразделов, кодов целевой статьи расходов, видов расходов, кодов операций сектора государственного управления бюджетного финансирования. Номер счета Рабочего плана счетов состоит из двадцати шести </w:t>
      </w:r>
      <w:r w:rsidRPr="006370F6">
        <w:rPr>
          <w:color w:val="333333"/>
        </w:rPr>
        <w:lastRenderedPageBreak/>
        <w:t>разрядов.    </w:t>
      </w:r>
      <w:r w:rsidRPr="006370F6">
        <w:rPr>
          <w:color w:val="333333"/>
        </w:rPr>
        <w:br/>
        <w:t>Аналитические коды в номере счета Рабочего плана счетов отражают:       </w:t>
      </w:r>
      <w:r w:rsidRPr="006370F6">
        <w:rPr>
          <w:color w:val="333333"/>
        </w:rPr>
        <w:br/>
        <w:t>в 1 - 17 разрядах - аналитический код по классификационному признаку поступлений и выбытий;</w:t>
      </w:r>
      <w:r w:rsidRPr="006370F6">
        <w:rPr>
          <w:color w:val="333333"/>
        </w:rPr>
        <w:br/>
        <w:t>в 18 разряде - код вида финансового обеспечения (деятельности):    </w:t>
      </w:r>
      <w:r w:rsidRPr="006370F6">
        <w:rPr>
          <w:color w:val="333333"/>
        </w:rPr>
        <w:br/>
        <w:t>1 - бюджетная деятельность;         </w:t>
      </w:r>
      <w:r w:rsidRPr="006370F6">
        <w:rPr>
          <w:color w:val="333333"/>
        </w:rPr>
        <w:br/>
        <w:t>3 - средства во временном распоряжении.          </w:t>
      </w:r>
      <w:r w:rsidRPr="006370F6">
        <w:rPr>
          <w:color w:val="333333"/>
        </w:rPr>
        <w:br/>
        <w:t>Разряды 18 - 26 номера счета Рабочего плана счетов образуют код счета бюджетного учета.</w:t>
      </w:r>
      <w:r w:rsidRPr="006370F6">
        <w:rPr>
          <w:color w:val="333333"/>
        </w:rPr>
        <w:br/>
        <w:t>В 24 - 26 разрядах номера счета Рабочего плана счетов отражаются коды классификации операций сектора государственного управления (КОСГУ).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Учреждение использует унифицированные формы первичных документов, установленные нормативными правовыми актами Мин</w:t>
      </w:r>
      <w:r w:rsidR="00955B85">
        <w:rPr>
          <w:color w:val="333333"/>
        </w:rPr>
        <w:t>истерства финансов РФ</w:t>
      </w:r>
      <w:r w:rsidRPr="006370F6">
        <w:rPr>
          <w:color w:val="333333"/>
        </w:rPr>
        <w:t>.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Порядок и сроки передачи первичных учетных документов для отражения в бухучете устанавливаются в соответствии с графиком документооборота.</w:t>
      </w:r>
    </w:p>
    <w:p w:rsidR="0002710B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 xml:space="preserve">Первичные и сводные учетные документы, бухгалтерские регистры составляются </w:t>
      </w:r>
      <w:r w:rsidR="0002710B">
        <w:rPr>
          <w:color w:val="333333"/>
        </w:rPr>
        <w:t xml:space="preserve">на бумажном носителе или </w:t>
      </w:r>
      <w:r w:rsidRPr="006370F6">
        <w:rPr>
          <w:color w:val="333333"/>
        </w:rPr>
        <w:t xml:space="preserve">в форме электронного документа, подписанного квалифицированной электронной подписью. </w:t>
      </w:r>
    </w:p>
    <w:p w:rsidR="0002710B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 xml:space="preserve"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Учреждение  осуществляет внутренний финансовый контроль, направленный: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 xml:space="preserve">на соблюдение внутренних стандартов и процедур составления и исполнения бюджета по расходам, подготовку и организацию мер по повышению экономности и результативности использования бюджетных средств, составления бюджетной отчетности и ведения бюджетного учет– </w:t>
      </w:r>
      <w:proofErr w:type="gramStart"/>
      <w:r w:rsidRPr="006370F6">
        <w:rPr>
          <w:color w:val="333333"/>
        </w:rPr>
        <w:t>ка</w:t>
      </w:r>
      <w:proofErr w:type="gramEnd"/>
      <w:r w:rsidRPr="006370F6">
        <w:rPr>
          <w:color w:val="333333"/>
        </w:rPr>
        <w:t>к распорядитель бюджетных средств;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>на соблюдение внутренних стандартов и процедур составления и исполнения бюджета по доходам, составления бюджетной отчетности и ведения бюджетного учета – как администратор доходов бюджета.</w:t>
      </w:r>
    </w:p>
    <w:p w:rsidR="006370F6" w:rsidRPr="006370F6" w:rsidRDefault="006370F6" w:rsidP="006370F6">
      <w:pPr>
        <w:pStyle w:val="a3"/>
        <w:shd w:val="clear" w:color="auto" w:fill="FFFFFF"/>
        <w:jc w:val="both"/>
        <w:rPr>
          <w:color w:val="333333"/>
        </w:rPr>
      </w:pPr>
      <w:r w:rsidRPr="006370F6">
        <w:rPr>
          <w:color w:val="333333"/>
        </w:rPr>
        <w:t xml:space="preserve">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законодательством. Бюджетная отчетность представляется в </w:t>
      </w:r>
      <w:r w:rsidR="0002710B">
        <w:rPr>
          <w:color w:val="333333"/>
        </w:rPr>
        <w:t xml:space="preserve">Финансовое управление Новоуральского городского округа </w:t>
      </w:r>
      <w:r w:rsidRPr="006370F6">
        <w:rPr>
          <w:color w:val="333333"/>
        </w:rPr>
        <w:t>в установленные им сроки.</w:t>
      </w:r>
    </w:p>
    <w:p w:rsidR="001F0CE0" w:rsidRPr="006370F6" w:rsidRDefault="001F0CE0" w:rsidP="006370F6">
      <w:pPr>
        <w:pStyle w:val="a3"/>
        <w:shd w:val="clear" w:color="auto" w:fill="FFFFFF"/>
      </w:pPr>
    </w:p>
    <w:p w:rsidR="006370F6" w:rsidRPr="006370F6" w:rsidRDefault="006370F6">
      <w:pPr>
        <w:pStyle w:val="a3"/>
        <w:shd w:val="clear" w:color="auto" w:fill="FFFFFF"/>
      </w:pPr>
    </w:p>
    <w:sectPr w:rsidR="006370F6" w:rsidRPr="006370F6" w:rsidSect="001F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370F6"/>
    <w:rsid w:val="00022E9C"/>
    <w:rsid w:val="0002710B"/>
    <w:rsid w:val="001F0CE0"/>
    <w:rsid w:val="006370F6"/>
    <w:rsid w:val="009153CC"/>
    <w:rsid w:val="00955B85"/>
    <w:rsid w:val="00A449EB"/>
    <w:rsid w:val="00A7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E0"/>
  </w:style>
  <w:style w:type="paragraph" w:styleId="1">
    <w:name w:val="heading 1"/>
    <w:basedOn w:val="a"/>
    <w:next w:val="a"/>
    <w:link w:val="10"/>
    <w:uiPriority w:val="9"/>
    <w:qFormat/>
    <w:rsid w:val="0002710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2710B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2710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2710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2710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2710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2710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2710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2710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0F6"/>
    <w:rPr>
      <w:b/>
      <w:bCs/>
    </w:rPr>
  </w:style>
  <w:style w:type="character" w:styleId="a5">
    <w:name w:val="Hyperlink"/>
    <w:basedOn w:val="a0"/>
    <w:uiPriority w:val="99"/>
    <w:semiHidden/>
    <w:unhideWhenUsed/>
    <w:rsid w:val="006370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710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10B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10B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710B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710B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710B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2710B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2710B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710B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1229</Words>
  <Characters>7011</Characters>
  <Application>Microsoft Office Word</Application>
  <DocSecurity>0</DocSecurity>
  <Lines>58</Lines>
  <Paragraphs>16</Paragraphs>
  <ScaleCrop>false</ScaleCrop>
  <Company>adm-ngo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duma07</dc:creator>
  <cp:lastModifiedBy>duma07</cp:lastModifiedBy>
  <cp:revision>2</cp:revision>
  <dcterms:created xsi:type="dcterms:W3CDTF">2024-01-15T14:13:00Z</dcterms:created>
  <dcterms:modified xsi:type="dcterms:W3CDTF">2024-01-15T14:13:00Z</dcterms:modified>
</cp:coreProperties>
</file>