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8C" w:rsidRDefault="004A178C" w:rsidP="007A347C">
      <w:pPr>
        <w:pStyle w:val="af0"/>
        <w:ind w:left="0"/>
        <w:jc w:val="center"/>
        <w:rPr>
          <w:b/>
        </w:rPr>
      </w:pPr>
      <w:r>
        <w:rPr>
          <w:b/>
        </w:rPr>
        <w:t xml:space="preserve">Стандарт </w:t>
      </w:r>
      <w:r w:rsidR="009B4447">
        <w:rPr>
          <w:b/>
        </w:rPr>
        <w:t xml:space="preserve">внешнего муниципального финансового контроля </w:t>
      </w:r>
      <w:r>
        <w:rPr>
          <w:b/>
        </w:rPr>
        <w:t>Контрольно-счетной комиссии Новоуральского городского округа «Проведение внешней проверки годового отчета об исполнении бюджета Новоуральского городского округа»</w:t>
      </w:r>
    </w:p>
    <w:p w:rsidR="004A178C" w:rsidRDefault="004A178C" w:rsidP="004A178C">
      <w:pPr>
        <w:pStyle w:val="Heading1"/>
        <w:numPr>
          <w:ilvl w:val="1"/>
          <w:numId w:val="3"/>
        </w:numPr>
        <w:tabs>
          <w:tab w:val="left" w:pos="4173"/>
        </w:tabs>
        <w:spacing w:before="267"/>
        <w:ind w:hanging="280"/>
      </w:pPr>
      <w:bookmarkStart w:id="0" w:name="_TOC_250002"/>
      <w:r>
        <w:t>Общие</w:t>
      </w:r>
      <w:r>
        <w:rPr>
          <w:spacing w:val="-1"/>
        </w:rPr>
        <w:t xml:space="preserve"> </w:t>
      </w:r>
      <w:bookmarkEnd w:id="0"/>
      <w:r>
        <w:t>положения</w:t>
      </w:r>
    </w:p>
    <w:p w:rsidR="004A178C" w:rsidRDefault="004A178C" w:rsidP="004A178C">
      <w:pPr>
        <w:pStyle w:val="af0"/>
        <w:spacing w:before="8"/>
        <w:ind w:left="0"/>
        <w:rPr>
          <w:b/>
          <w:sz w:val="27"/>
        </w:rPr>
      </w:pPr>
    </w:p>
    <w:p w:rsidR="004A178C" w:rsidRDefault="004A178C" w:rsidP="004A178C">
      <w:pPr>
        <w:pStyle w:val="aa"/>
        <w:widowControl w:val="0"/>
        <w:numPr>
          <w:ilvl w:val="1"/>
          <w:numId w:val="4"/>
        </w:numPr>
        <w:tabs>
          <w:tab w:val="left" w:pos="1518"/>
        </w:tabs>
        <w:autoSpaceDE w:val="0"/>
        <w:autoSpaceDN w:val="0"/>
        <w:spacing w:before="1" w:after="0" w:line="242" w:lineRule="auto"/>
        <w:ind w:left="102" w:right="103" w:firstLine="708"/>
        <w:jc w:val="both"/>
      </w:pPr>
      <w:r>
        <w:t>Стандарт внешнего муниципального финансового контроля Контрольно-счетной комиссии Новоуральского городского округа «Проведение внешней проверки годового отчета об исполнении  бюджета</w:t>
      </w:r>
      <w:r w:rsidR="009B4447">
        <w:t xml:space="preserve"> Новоуральского городского округа</w:t>
      </w:r>
      <w:r>
        <w:t>» (далее – Стандарт) разработан и утвержден в соответствии</w:t>
      </w:r>
      <w:r>
        <w:rPr>
          <w:spacing w:val="-2"/>
        </w:rPr>
        <w:t xml:space="preserve"> </w:t>
      </w:r>
      <w:r>
        <w:t>с:</w:t>
      </w:r>
    </w:p>
    <w:p w:rsidR="004A178C" w:rsidRDefault="004A178C" w:rsidP="004A178C">
      <w:pPr>
        <w:pStyle w:val="aa"/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spacing w:after="0" w:line="316" w:lineRule="exact"/>
        <w:ind w:firstLine="708"/>
      </w:pPr>
      <w:r>
        <w:t>Бюджетным кодексом Российской Федерации (далее – БК</w:t>
      </w:r>
      <w:r>
        <w:rPr>
          <w:spacing w:val="-8"/>
        </w:rPr>
        <w:t xml:space="preserve"> </w:t>
      </w:r>
      <w:r>
        <w:t>РФ);</w:t>
      </w:r>
    </w:p>
    <w:p w:rsidR="004A178C" w:rsidRDefault="004A178C" w:rsidP="004A178C">
      <w:pPr>
        <w:pStyle w:val="aa"/>
        <w:widowControl w:val="0"/>
        <w:numPr>
          <w:ilvl w:val="0"/>
          <w:numId w:val="5"/>
        </w:numPr>
        <w:tabs>
          <w:tab w:val="left" w:pos="1055"/>
        </w:tabs>
        <w:autoSpaceDE w:val="0"/>
        <w:autoSpaceDN w:val="0"/>
        <w:spacing w:after="0" w:line="242" w:lineRule="auto"/>
        <w:ind w:right="104" w:firstLine="708"/>
        <w:jc w:val="both"/>
      </w:pPr>
      <w:r>
        <w:t>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</w:t>
      </w:r>
      <w:r>
        <w:rPr>
          <w:spacing w:val="-3"/>
        </w:rPr>
        <w:t xml:space="preserve"> </w:t>
      </w:r>
      <w:r>
        <w:t>6-ФЗ);</w:t>
      </w:r>
    </w:p>
    <w:p w:rsidR="004A178C" w:rsidRDefault="004A178C" w:rsidP="004A178C">
      <w:pPr>
        <w:pStyle w:val="aa"/>
        <w:widowControl w:val="0"/>
        <w:numPr>
          <w:ilvl w:val="0"/>
          <w:numId w:val="5"/>
        </w:numPr>
        <w:tabs>
          <w:tab w:val="left" w:pos="1310"/>
        </w:tabs>
        <w:autoSpaceDE w:val="0"/>
        <w:autoSpaceDN w:val="0"/>
        <w:spacing w:after="0" w:line="242" w:lineRule="auto"/>
        <w:ind w:right="109" w:firstLine="708"/>
        <w:jc w:val="both"/>
      </w:pPr>
      <w:r>
        <w:t>приказом    Министерства    финансов    Российской    Федерации от 28.12.2010 № 191н «Об утверждении Инструкции о порядке составления   и представления годовой, квартальной и месячной отчетности об исполнении бюджетов бюджетной системы Российской</w:t>
      </w:r>
      <w:r>
        <w:rPr>
          <w:spacing w:val="-6"/>
        </w:rPr>
        <w:t xml:space="preserve"> </w:t>
      </w:r>
      <w:r>
        <w:t>Федерации»;</w:t>
      </w:r>
    </w:p>
    <w:p w:rsidR="004A178C" w:rsidRDefault="004A178C" w:rsidP="004A178C">
      <w:pPr>
        <w:pStyle w:val="aa"/>
        <w:widowControl w:val="0"/>
        <w:numPr>
          <w:ilvl w:val="0"/>
          <w:numId w:val="5"/>
        </w:numPr>
        <w:tabs>
          <w:tab w:val="left" w:pos="1115"/>
        </w:tabs>
        <w:autoSpaceDE w:val="0"/>
        <w:autoSpaceDN w:val="0"/>
        <w:spacing w:after="0" w:line="319" w:lineRule="exact"/>
        <w:ind w:left="1114" w:hanging="304"/>
        <w:jc w:val="both"/>
      </w:pPr>
      <w:r>
        <w:t>Положением о Контрольно-счетной комиссии, утв</w:t>
      </w:r>
      <w:r w:rsidR="00723F28">
        <w:t>.</w:t>
      </w:r>
      <w:r>
        <w:t xml:space="preserve"> решением Думы Новоуральского городского округа от 21.12.2011 № 131.</w:t>
      </w:r>
    </w:p>
    <w:p w:rsidR="004A178C" w:rsidRDefault="004A178C" w:rsidP="004A178C">
      <w:pPr>
        <w:pStyle w:val="af0"/>
        <w:ind w:right="105"/>
        <w:jc w:val="both"/>
      </w:pPr>
    </w:p>
    <w:p w:rsidR="004A178C" w:rsidRDefault="004A178C" w:rsidP="004A178C">
      <w:pPr>
        <w:pStyle w:val="aa"/>
        <w:widowControl w:val="0"/>
        <w:numPr>
          <w:ilvl w:val="1"/>
          <w:numId w:val="4"/>
        </w:numPr>
        <w:tabs>
          <w:tab w:val="left" w:pos="1307"/>
        </w:tabs>
        <w:autoSpaceDE w:val="0"/>
        <w:autoSpaceDN w:val="0"/>
        <w:spacing w:before="3" w:after="0" w:line="242" w:lineRule="auto"/>
        <w:ind w:left="102" w:right="107" w:firstLine="708"/>
        <w:jc w:val="both"/>
      </w:pPr>
      <w:r>
        <w:t>В случае внесения изменений в указанные документы (принятия их в новой редакции) Стандарт продолжает применяться с учетом соответствующих изменений (новой</w:t>
      </w:r>
      <w:r>
        <w:rPr>
          <w:spacing w:val="-3"/>
        </w:rPr>
        <w:t xml:space="preserve"> </w:t>
      </w:r>
      <w:r>
        <w:t>редакции).</w:t>
      </w:r>
    </w:p>
    <w:p w:rsidR="004A178C" w:rsidRDefault="004A178C" w:rsidP="004A178C">
      <w:pPr>
        <w:pStyle w:val="aa"/>
        <w:widowControl w:val="0"/>
        <w:numPr>
          <w:ilvl w:val="1"/>
          <w:numId w:val="4"/>
        </w:numPr>
        <w:tabs>
          <w:tab w:val="left" w:pos="1485"/>
        </w:tabs>
        <w:autoSpaceDE w:val="0"/>
        <w:autoSpaceDN w:val="0"/>
        <w:spacing w:after="0" w:line="240" w:lineRule="auto"/>
        <w:ind w:left="102" w:right="105" w:firstLine="708"/>
        <w:jc w:val="both"/>
      </w:pPr>
      <w:r>
        <w:t>Стандарт устанавливает основные подходы к организации проведения внешней проверки годового отчета об исполнении бюджета</w:t>
      </w:r>
      <w:r w:rsidR="00D049DC">
        <w:t xml:space="preserve"> Новоуральского городского округа</w:t>
      </w:r>
      <w:r>
        <w:t xml:space="preserve"> (далее – внешняя проверка) обязателен к применению муниципальными служащими Контрольно-счетной комиссии Новоуральского городского округа, участвующими  в проведении внешней проверки. </w:t>
      </w:r>
    </w:p>
    <w:p w:rsidR="004A178C" w:rsidRDefault="004A178C" w:rsidP="004A178C">
      <w:pPr>
        <w:pStyle w:val="aa"/>
        <w:widowControl w:val="0"/>
        <w:numPr>
          <w:ilvl w:val="1"/>
          <w:numId w:val="4"/>
        </w:numPr>
        <w:tabs>
          <w:tab w:val="left" w:pos="1485"/>
        </w:tabs>
        <w:autoSpaceDE w:val="0"/>
        <w:autoSpaceDN w:val="0"/>
        <w:spacing w:after="0" w:line="240" w:lineRule="auto"/>
        <w:ind w:left="102" w:right="105" w:firstLine="708"/>
        <w:jc w:val="both"/>
      </w:pPr>
      <w:r>
        <w:t>Целью проведения внешней проверки годового отчета об исполнении бюджета</w:t>
      </w:r>
      <w:r w:rsidR="00D049DC">
        <w:t xml:space="preserve"> Новоуральского городского округа</w:t>
      </w:r>
      <w:r>
        <w:t xml:space="preserve"> является предоставление получателям результатов внешнего муниципального финансового контроля общей информации о полноте и достоверности годового отчета об исполнении  бюджета</w:t>
      </w:r>
      <w:r w:rsidR="00D049DC">
        <w:t xml:space="preserve"> Новоуральского городского округа</w:t>
      </w:r>
      <w:r>
        <w:t xml:space="preserve"> и бюджетной отчетности главных администраторов средств бюджета</w:t>
      </w:r>
      <w:r w:rsidR="00D049DC">
        <w:t xml:space="preserve"> Новоуральского городского округа</w:t>
      </w:r>
      <w:r>
        <w:t>.</w:t>
      </w:r>
    </w:p>
    <w:p w:rsidR="004A178C" w:rsidRDefault="004A178C" w:rsidP="004A178C">
      <w:pPr>
        <w:pStyle w:val="aa"/>
        <w:widowControl w:val="0"/>
        <w:numPr>
          <w:ilvl w:val="1"/>
          <w:numId w:val="4"/>
        </w:numPr>
        <w:tabs>
          <w:tab w:val="left" w:pos="1432"/>
        </w:tabs>
        <w:autoSpaceDE w:val="0"/>
        <w:autoSpaceDN w:val="0"/>
        <w:spacing w:after="0" w:line="240" w:lineRule="auto"/>
        <w:ind w:left="102" w:right="114" w:firstLine="708"/>
        <w:jc w:val="both"/>
      </w:pPr>
      <w:r>
        <w:t>Задачами внешней проверки годового отчета об исполнении  бюджета Новоуральского городского округа являются:</w:t>
      </w:r>
    </w:p>
    <w:p w:rsidR="004A178C" w:rsidRDefault="004A178C" w:rsidP="004A178C">
      <w:pPr>
        <w:pStyle w:val="af0"/>
        <w:spacing w:before="1"/>
        <w:ind w:left="0"/>
        <w:rPr>
          <w:sz w:val="17"/>
        </w:rPr>
      </w:pPr>
    </w:p>
    <w:p w:rsidR="004A178C" w:rsidRDefault="004A178C" w:rsidP="004A178C">
      <w:pPr>
        <w:pStyle w:val="aa"/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spacing w:before="89" w:after="0" w:line="240" w:lineRule="auto"/>
        <w:ind w:right="109" w:firstLine="708"/>
        <w:jc w:val="both"/>
      </w:pPr>
      <w:r>
        <w:t>контроль за полнотой и достоверностью годового отчета об исполнении бюджета Новоуральского городского округа;</w:t>
      </w:r>
    </w:p>
    <w:p w:rsidR="004A178C" w:rsidRDefault="004A178C" w:rsidP="004A178C">
      <w:pPr>
        <w:pStyle w:val="aa"/>
        <w:widowControl w:val="0"/>
        <w:numPr>
          <w:ilvl w:val="0"/>
          <w:numId w:val="5"/>
        </w:numPr>
        <w:tabs>
          <w:tab w:val="left" w:pos="1130"/>
        </w:tabs>
        <w:autoSpaceDE w:val="0"/>
        <w:autoSpaceDN w:val="0"/>
        <w:spacing w:before="2" w:after="0" w:line="240" w:lineRule="auto"/>
        <w:ind w:right="107" w:firstLine="708"/>
        <w:jc w:val="both"/>
      </w:pPr>
      <w:r>
        <w:lastRenderedPageBreak/>
        <w:t>контроль за полнотой и достоверностью бюджетной отчетности главных администраторов средств бюджета Новоуральского городского округа;</w:t>
      </w:r>
    </w:p>
    <w:p w:rsidR="004A178C" w:rsidRDefault="004A178C" w:rsidP="004A178C">
      <w:pPr>
        <w:pStyle w:val="aa"/>
        <w:widowControl w:val="0"/>
        <w:numPr>
          <w:ilvl w:val="0"/>
          <w:numId w:val="5"/>
        </w:numPr>
        <w:tabs>
          <w:tab w:val="left" w:pos="1168"/>
        </w:tabs>
        <w:autoSpaceDE w:val="0"/>
        <w:autoSpaceDN w:val="0"/>
        <w:spacing w:after="0" w:line="240" w:lineRule="auto"/>
        <w:ind w:right="103" w:firstLine="708"/>
        <w:jc w:val="both"/>
      </w:pPr>
      <w:r>
        <w:t>контроль за соответствием нормативным требованиям порядка составления и представления бюджетной</w:t>
      </w:r>
      <w:r>
        <w:rPr>
          <w:spacing w:val="-2"/>
        </w:rPr>
        <w:t xml:space="preserve"> </w:t>
      </w:r>
      <w:r>
        <w:t>отчетности.</w:t>
      </w:r>
    </w:p>
    <w:p w:rsidR="004A178C" w:rsidRDefault="004A178C" w:rsidP="004A178C">
      <w:pPr>
        <w:pStyle w:val="aa"/>
        <w:widowControl w:val="0"/>
        <w:numPr>
          <w:ilvl w:val="1"/>
          <w:numId w:val="4"/>
        </w:numPr>
        <w:tabs>
          <w:tab w:val="left" w:pos="1422"/>
        </w:tabs>
        <w:autoSpaceDE w:val="0"/>
        <w:autoSpaceDN w:val="0"/>
        <w:spacing w:after="0" w:line="240" w:lineRule="auto"/>
        <w:ind w:left="102" w:right="104" w:firstLine="708"/>
        <w:jc w:val="both"/>
      </w:pPr>
      <w: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</w:t>
      </w:r>
      <w:r>
        <w:rPr>
          <w:spacing w:val="-7"/>
        </w:rPr>
        <w:t xml:space="preserve"> </w:t>
      </w:r>
      <w:r>
        <w:t>отчетности.</w:t>
      </w:r>
    </w:p>
    <w:p w:rsidR="004A178C" w:rsidRDefault="004A178C" w:rsidP="004A178C">
      <w:pPr>
        <w:pStyle w:val="af0"/>
        <w:ind w:right="102" w:firstLine="707"/>
        <w:jc w:val="both"/>
      </w:pPr>
      <w:r>
        <w:t>Полнота бюджетной отчетности достигается при наличии всех предусмотренных порядком ее составления форм отчетности, разделов (частей)</w:t>
      </w:r>
      <w:r>
        <w:rPr>
          <w:spacing w:val="-17"/>
        </w:rPr>
        <w:t xml:space="preserve"> </w:t>
      </w:r>
      <w:r>
        <w:t>форм</w:t>
      </w:r>
      <w:r>
        <w:rPr>
          <w:spacing w:val="-16"/>
        </w:rPr>
        <w:t xml:space="preserve"> </w:t>
      </w:r>
      <w:r>
        <w:t>отчетности,</w:t>
      </w:r>
      <w:r>
        <w:rPr>
          <w:spacing w:val="-17"/>
        </w:rPr>
        <w:t xml:space="preserve"> </w:t>
      </w:r>
      <w:r>
        <w:t>граф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строк</w:t>
      </w:r>
      <w:r>
        <w:rPr>
          <w:spacing w:val="-16"/>
        </w:rPr>
        <w:t xml:space="preserve"> </w:t>
      </w:r>
      <w:r>
        <w:t>форм</w:t>
      </w:r>
      <w:r>
        <w:rPr>
          <w:spacing w:val="-16"/>
        </w:rPr>
        <w:t xml:space="preserve"> </w:t>
      </w:r>
      <w:r>
        <w:t>отчетности.</w:t>
      </w:r>
      <w:r>
        <w:rPr>
          <w:spacing w:val="-17"/>
        </w:rPr>
        <w:t xml:space="preserve"> </w:t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6"/>
        </w:rPr>
        <w:t xml:space="preserve"> </w:t>
      </w:r>
      <w:r>
        <w:t>отсутствие формы  (части  формы,   графы,   строки)   может  означать  как   отсутствие  у субъекта отчетности соответствующей деятельности  и  ее  показателей,  так и нарушение им порядка составления отчетности (при фактическом наличии деятельности и показателей).</w:t>
      </w:r>
    </w:p>
    <w:p w:rsidR="004A178C" w:rsidRDefault="004A178C" w:rsidP="004A178C">
      <w:pPr>
        <w:pStyle w:val="af0"/>
        <w:ind w:right="106" w:firstLine="707"/>
        <w:jc w:val="both"/>
      </w:pPr>
      <w:r>
        <w:t>Достоверность  бюджетной   отчетности   достигается   при   наличии   в формах отчетности всех предусмотренных порядком ее составления числовых, натуральных и иных показателей и совпадением указанных показателей со значениями, определенными в соответствии с порядком составления отчетности и ведения</w:t>
      </w:r>
      <w:r>
        <w:rPr>
          <w:spacing w:val="-3"/>
        </w:rPr>
        <w:t xml:space="preserve"> </w:t>
      </w:r>
      <w:r>
        <w:t>учета.</w:t>
      </w:r>
    </w:p>
    <w:p w:rsidR="004A178C" w:rsidRDefault="004A178C" w:rsidP="004A178C">
      <w:pPr>
        <w:pStyle w:val="aa"/>
        <w:widowControl w:val="0"/>
        <w:numPr>
          <w:ilvl w:val="1"/>
          <w:numId w:val="4"/>
        </w:numPr>
        <w:tabs>
          <w:tab w:val="left" w:pos="1293"/>
        </w:tabs>
        <w:autoSpaceDE w:val="0"/>
        <w:autoSpaceDN w:val="0"/>
        <w:spacing w:after="0" w:line="240" w:lineRule="auto"/>
        <w:ind w:left="102" w:right="105" w:firstLine="708"/>
        <w:jc w:val="both"/>
      </w:pP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внешней</w:t>
      </w:r>
      <w:r>
        <w:rPr>
          <w:spacing w:val="-14"/>
        </w:rPr>
        <w:t xml:space="preserve"> </w:t>
      </w:r>
      <w:r>
        <w:t>проверки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 xml:space="preserve">соблюдением (исполнением) решения Думы Новоуральского городского округа «Об утверждении бюджета Новоуральского городского округа», в том числе бюджетных назначений по доходам, расходам, источникам финансирования дефицита, объему заимствований, долга, бюджетных кредитов и гарантий. </w:t>
      </w:r>
      <w:r>
        <w:tab/>
      </w:r>
      <w:r>
        <w:tab/>
      </w:r>
      <w:r>
        <w:tab/>
      </w:r>
      <w:r w:rsidR="00723F28">
        <w:tab/>
      </w:r>
      <w:r w:rsidR="00723F28">
        <w:tab/>
      </w:r>
      <w:r w:rsidR="00723F28">
        <w:tab/>
      </w:r>
      <w:r w:rsidR="00723F28">
        <w:tab/>
      </w:r>
      <w:r w:rsidR="00723F28">
        <w:tab/>
      </w:r>
      <w:r w:rsidR="00723F28">
        <w:tab/>
      </w:r>
      <w:r w:rsidR="00723F28">
        <w:tab/>
      </w:r>
      <w:r w:rsidR="00723F28">
        <w:tab/>
      </w:r>
      <w:r w:rsidR="00723F28">
        <w:tab/>
      </w:r>
      <w:r>
        <w:t xml:space="preserve">Процент (доля) исполнения бюджетных назначений рассматривается как индикатор достижения установленных результатов бюджетной деятельности и степени ее эффективности. </w:t>
      </w:r>
      <w:r>
        <w:tab/>
      </w:r>
      <w:r>
        <w:tab/>
      </w:r>
      <w:r>
        <w:tab/>
      </w:r>
      <w:r>
        <w:tab/>
      </w:r>
      <w:r>
        <w:tab/>
      </w:r>
      <w:r>
        <w:tab/>
        <w:t>При этом вывод о степени эффективности бюджетной деятельности (использования бюджетных средств) может делаться в случае, если в ходе внешней проверки или ранее проведенных мероприятий была получена информация о причинах и последствиях неисполнения бюджетных назначений.</w:t>
      </w:r>
    </w:p>
    <w:p w:rsidR="004A178C" w:rsidRDefault="004A178C" w:rsidP="004A178C">
      <w:pPr>
        <w:pStyle w:val="af0"/>
        <w:spacing w:before="5"/>
        <w:ind w:left="0"/>
      </w:pPr>
    </w:p>
    <w:p w:rsidR="004A178C" w:rsidRDefault="004A178C" w:rsidP="004A178C">
      <w:pPr>
        <w:pStyle w:val="Heading1"/>
        <w:numPr>
          <w:ilvl w:val="1"/>
          <w:numId w:val="3"/>
        </w:numPr>
        <w:tabs>
          <w:tab w:val="left" w:pos="2786"/>
        </w:tabs>
        <w:ind w:left="2785" w:hanging="280"/>
      </w:pPr>
      <w:bookmarkStart w:id="1" w:name="_TOC_250001"/>
      <w:r>
        <w:t>Порядок проведения внешней</w:t>
      </w:r>
      <w:r>
        <w:rPr>
          <w:spacing w:val="-3"/>
        </w:rPr>
        <w:t xml:space="preserve"> </w:t>
      </w:r>
      <w:bookmarkEnd w:id="1"/>
      <w:r>
        <w:t>проверки</w:t>
      </w:r>
    </w:p>
    <w:p w:rsidR="004A178C" w:rsidRDefault="004A178C" w:rsidP="004A178C">
      <w:pPr>
        <w:pStyle w:val="af0"/>
        <w:spacing w:before="6"/>
        <w:ind w:left="0"/>
        <w:rPr>
          <w:b/>
          <w:sz w:val="27"/>
        </w:rPr>
      </w:pPr>
    </w:p>
    <w:p w:rsidR="004A178C" w:rsidRDefault="004A178C" w:rsidP="004A178C">
      <w:pPr>
        <w:pStyle w:val="aa"/>
        <w:widowControl w:val="0"/>
        <w:numPr>
          <w:ilvl w:val="1"/>
          <w:numId w:val="6"/>
        </w:numPr>
        <w:tabs>
          <w:tab w:val="left" w:pos="1442"/>
        </w:tabs>
        <w:autoSpaceDE w:val="0"/>
        <w:autoSpaceDN w:val="0"/>
        <w:spacing w:after="0" w:line="240" w:lineRule="auto"/>
        <w:ind w:left="102" w:right="106" w:firstLine="708"/>
        <w:jc w:val="both"/>
      </w:pPr>
      <w:r>
        <w:t>Основанием проведения внешней проверки Контрольно-счетной комиссией являются ст.264.4, п.1 ст.268.1 БК РФ, п.3 ч 1 ст. 9 Закона № 6-ФЗ, п.3 ст.8 Положения о Контрольно-счетной комиссии Новоуральского городского округа, утв. решением Думы Новоуральского городского округа от 21.12.2011 №131.</w:t>
      </w:r>
    </w:p>
    <w:p w:rsidR="004A178C" w:rsidRDefault="004A178C" w:rsidP="004A178C">
      <w:pPr>
        <w:pStyle w:val="aa"/>
        <w:widowControl w:val="0"/>
        <w:numPr>
          <w:ilvl w:val="1"/>
          <w:numId w:val="6"/>
        </w:numPr>
        <w:tabs>
          <w:tab w:val="left" w:pos="1298"/>
        </w:tabs>
        <w:autoSpaceDE w:val="0"/>
        <w:autoSpaceDN w:val="0"/>
        <w:spacing w:before="89" w:after="0" w:line="240" w:lineRule="auto"/>
        <w:ind w:right="107" w:firstLine="708"/>
        <w:jc w:val="both"/>
      </w:pPr>
      <w:r>
        <w:t>Внешняя</w:t>
      </w:r>
      <w:r w:rsidRPr="00D049DC">
        <w:rPr>
          <w:spacing w:val="-9"/>
        </w:rPr>
        <w:t xml:space="preserve"> </w:t>
      </w:r>
      <w:r>
        <w:t>проверка</w:t>
      </w:r>
      <w:r w:rsidRPr="00D049DC">
        <w:rPr>
          <w:spacing w:val="-8"/>
        </w:rPr>
        <w:t xml:space="preserve"> </w:t>
      </w:r>
      <w:r>
        <w:t>за</w:t>
      </w:r>
      <w:r w:rsidRPr="00D049DC">
        <w:rPr>
          <w:spacing w:val="-9"/>
        </w:rPr>
        <w:t xml:space="preserve"> </w:t>
      </w:r>
      <w:r>
        <w:t>отчетный</w:t>
      </w:r>
      <w:r w:rsidRPr="00D049DC">
        <w:rPr>
          <w:spacing w:val="-8"/>
        </w:rPr>
        <w:t xml:space="preserve"> </w:t>
      </w:r>
      <w:r>
        <w:t>финансовый</w:t>
      </w:r>
      <w:r w:rsidRPr="00D049DC">
        <w:rPr>
          <w:spacing w:val="-8"/>
        </w:rPr>
        <w:t xml:space="preserve"> </w:t>
      </w:r>
      <w:r>
        <w:t>год,</w:t>
      </w:r>
      <w:r w:rsidRPr="00D049DC">
        <w:rPr>
          <w:spacing w:val="-9"/>
        </w:rPr>
        <w:t xml:space="preserve"> </w:t>
      </w:r>
      <w:r>
        <w:t>включая</w:t>
      </w:r>
      <w:r w:rsidRPr="00D049DC">
        <w:rPr>
          <w:spacing w:val="-8"/>
        </w:rPr>
        <w:t xml:space="preserve"> </w:t>
      </w:r>
      <w:r>
        <w:t xml:space="preserve">внешнюю проверку годовой бюджетной отчетности главных </w:t>
      </w:r>
      <w:r>
        <w:lastRenderedPageBreak/>
        <w:t>администраторов доходов  бюджета Новоуралького городского округа, главных распорядителей  средств бюджета Новоуральского городского округа и главных администраторов источников финансирования</w:t>
      </w:r>
      <w:r w:rsidRPr="00D049DC">
        <w:rPr>
          <w:spacing w:val="44"/>
        </w:rPr>
        <w:t xml:space="preserve"> </w:t>
      </w:r>
      <w:r>
        <w:t>дефицита</w:t>
      </w:r>
      <w:r w:rsidR="00D049DC">
        <w:t xml:space="preserve"> </w:t>
      </w:r>
      <w:r>
        <w:t>бюджета (далее – ГАБС)</w:t>
      </w:r>
      <w:r w:rsidRPr="00D049DC">
        <w:rPr>
          <w:spacing w:val="-18"/>
        </w:rPr>
        <w:t xml:space="preserve"> </w:t>
      </w:r>
      <w:r>
        <w:t>и</w:t>
      </w:r>
      <w:r w:rsidRPr="00D049DC">
        <w:rPr>
          <w:spacing w:val="-19"/>
        </w:rPr>
        <w:t xml:space="preserve"> </w:t>
      </w:r>
      <w:r>
        <w:t>подготовку</w:t>
      </w:r>
      <w:r w:rsidRPr="00D049DC">
        <w:rPr>
          <w:spacing w:val="-19"/>
        </w:rPr>
        <w:t xml:space="preserve"> </w:t>
      </w:r>
      <w:r>
        <w:t>заключения</w:t>
      </w:r>
      <w:r w:rsidRPr="00D049DC">
        <w:rPr>
          <w:spacing w:val="-17"/>
        </w:rPr>
        <w:t xml:space="preserve"> </w:t>
      </w:r>
      <w:r>
        <w:t>на</w:t>
      </w:r>
      <w:r w:rsidRPr="00D049DC">
        <w:rPr>
          <w:spacing w:val="-17"/>
        </w:rPr>
        <w:t xml:space="preserve"> </w:t>
      </w:r>
      <w:r>
        <w:t>годовой</w:t>
      </w:r>
      <w:r w:rsidRPr="00D049DC">
        <w:rPr>
          <w:spacing w:val="-18"/>
        </w:rPr>
        <w:t xml:space="preserve"> </w:t>
      </w:r>
      <w:r>
        <w:t>отчет</w:t>
      </w:r>
      <w:r w:rsidRPr="00D049DC">
        <w:rPr>
          <w:spacing w:val="-20"/>
        </w:rPr>
        <w:t xml:space="preserve"> </w:t>
      </w:r>
      <w:r>
        <w:t>об</w:t>
      </w:r>
      <w:r w:rsidRPr="00D049DC">
        <w:rPr>
          <w:spacing w:val="-15"/>
        </w:rPr>
        <w:t xml:space="preserve"> </w:t>
      </w:r>
      <w:r>
        <w:t>исполнении</w:t>
      </w:r>
      <w:r w:rsidRPr="00D049DC">
        <w:rPr>
          <w:spacing w:val="-19"/>
        </w:rPr>
        <w:t xml:space="preserve"> </w:t>
      </w:r>
      <w:r>
        <w:t xml:space="preserve"> бюджета Новоуральского городского округа, включается в годовой план работы Контрольно-счетной комиссии. </w:t>
      </w:r>
      <w:r>
        <w:tab/>
      </w:r>
      <w:r>
        <w:tab/>
      </w:r>
      <w:r>
        <w:tab/>
      </w:r>
      <w:r>
        <w:tab/>
      </w:r>
      <w:r>
        <w:tab/>
      </w:r>
      <w:r>
        <w:tab/>
        <w:t>Внешняя проверка является экспертно-аналитическим мероприятием, в ходе которого проводятся проверки бюджетной отчетности главных администраторов бюджетных средств.</w:t>
      </w:r>
    </w:p>
    <w:p w:rsidR="004A178C" w:rsidRDefault="004A178C" w:rsidP="004A178C">
      <w:pPr>
        <w:pStyle w:val="aa"/>
        <w:widowControl w:val="0"/>
        <w:numPr>
          <w:ilvl w:val="1"/>
          <w:numId w:val="7"/>
        </w:numPr>
        <w:tabs>
          <w:tab w:val="left" w:pos="1364"/>
        </w:tabs>
        <w:autoSpaceDE w:val="0"/>
        <w:autoSpaceDN w:val="0"/>
        <w:spacing w:before="1" w:after="0" w:line="240" w:lineRule="auto"/>
        <w:ind w:left="102" w:right="109" w:firstLine="708"/>
        <w:jc w:val="both"/>
      </w:pPr>
      <w:r>
        <w:t xml:space="preserve">Проверяемыми объектами при проведении внешней проверки являются </w:t>
      </w:r>
      <w:r w:rsidR="00D049DC">
        <w:t xml:space="preserve">финансовый орган </w:t>
      </w:r>
      <w:r>
        <w:t xml:space="preserve"> Новоуральского городского округа и главные администраторы бюджетных средств Новоуральского городского округа.</w:t>
      </w:r>
    </w:p>
    <w:p w:rsidR="004A178C" w:rsidRDefault="004A178C" w:rsidP="004A178C">
      <w:pPr>
        <w:pStyle w:val="af0"/>
        <w:ind w:right="105" w:firstLine="707"/>
        <w:jc w:val="both"/>
      </w:pPr>
      <w:r>
        <w:t xml:space="preserve">Внешняя проверка бюджетной отчетности не проводится в отношении главных администраторов доходов бюджета, на которых не распространяются полномочия контрольно-счетных органов муниципальных образований Российской Федерации либо которые не должны представлять бюджетную отчетность в </w:t>
      </w:r>
      <w:r w:rsidR="00D049DC">
        <w:t>финансовый орган</w:t>
      </w:r>
      <w:r>
        <w:t xml:space="preserve"> Новоуральского городского округа.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Новоуральского городского округа и отчетность об исполнении бюджета Новоуральского городского округа.</w:t>
      </w:r>
    </w:p>
    <w:p w:rsidR="004A178C" w:rsidRDefault="004A178C" w:rsidP="004A178C">
      <w:pPr>
        <w:pStyle w:val="af0"/>
        <w:spacing w:before="1"/>
        <w:ind w:left="0"/>
        <w:rPr>
          <w:sz w:val="17"/>
        </w:rPr>
      </w:pPr>
    </w:p>
    <w:p w:rsidR="004A178C" w:rsidRDefault="004A178C" w:rsidP="004A178C">
      <w:pPr>
        <w:pStyle w:val="af0"/>
        <w:ind w:right="106" w:firstLine="707"/>
        <w:jc w:val="both"/>
      </w:pPr>
      <w:r>
        <w:t>Заключение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годовой</w:t>
      </w:r>
      <w:r>
        <w:rPr>
          <w:spacing w:val="-18"/>
        </w:rPr>
        <w:t xml:space="preserve"> </w:t>
      </w:r>
      <w:r>
        <w:t>отчет</w:t>
      </w:r>
      <w:r>
        <w:rPr>
          <w:spacing w:val="-19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исполнении</w:t>
      </w:r>
      <w:r>
        <w:rPr>
          <w:spacing w:val="-18"/>
        </w:rPr>
        <w:t xml:space="preserve">  </w:t>
      </w:r>
      <w:r>
        <w:t>бюджета Новоуральского городского округа</w:t>
      </w:r>
      <w:r>
        <w:rPr>
          <w:spacing w:val="-19"/>
        </w:rPr>
        <w:t xml:space="preserve"> </w:t>
      </w:r>
      <w:r>
        <w:t>хран</w:t>
      </w:r>
      <w:r w:rsidR="009B4447">
        <w:t>и</w:t>
      </w:r>
      <w:r>
        <w:t>тся в Контрольно-счетной комиссии Новоуральского городского округа и переда</w:t>
      </w:r>
      <w:r w:rsidR="00723F28">
        <w:t>е</w:t>
      </w:r>
      <w:r>
        <w:t>тся в архив в установленном</w:t>
      </w:r>
      <w:r>
        <w:rPr>
          <w:spacing w:val="-4"/>
        </w:rPr>
        <w:t xml:space="preserve"> </w:t>
      </w:r>
      <w:r>
        <w:t>порядке.</w:t>
      </w:r>
    </w:p>
    <w:p w:rsidR="004A178C" w:rsidRDefault="004A178C" w:rsidP="004A178C">
      <w:pPr>
        <w:pStyle w:val="af0"/>
        <w:spacing w:before="3"/>
        <w:ind w:left="0"/>
      </w:pPr>
    </w:p>
    <w:p w:rsidR="0025141C" w:rsidRDefault="0025141C" w:rsidP="0009397B">
      <w:pPr>
        <w:spacing w:after="0" w:line="240" w:lineRule="auto"/>
        <w:ind w:firstLine="709"/>
        <w:jc w:val="center"/>
        <w:rPr>
          <w:b/>
          <w:bCs/>
        </w:rPr>
      </w:pPr>
    </w:p>
    <w:sectPr w:rsidR="0025141C" w:rsidSect="000939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D7" w:rsidRDefault="001C15D7" w:rsidP="0009397B">
      <w:pPr>
        <w:spacing w:after="0" w:line="240" w:lineRule="auto"/>
      </w:pPr>
      <w:r>
        <w:separator/>
      </w:r>
    </w:p>
  </w:endnote>
  <w:endnote w:type="continuationSeparator" w:id="1">
    <w:p w:rsidR="001C15D7" w:rsidRDefault="001C15D7" w:rsidP="0009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D7" w:rsidRDefault="001C15D7" w:rsidP="0009397B">
      <w:pPr>
        <w:spacing w:after="0" w:line="240" w:lineRule="auto"/>
      </w:pPr>
      <w:r>
        <w:separator/>
      </w:r>
    </w:p>
  </w:footnote>
  <w:footnote w:type="continuationSeparator" w:id="1">
    <w:p w:rsidR="001C15D7" w:rsidRDefault="001C15D7" w:rsidP="0009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1C" w:rsidRDefault="00CB3731">
    <w:pPr>
      <w:pStyle w:val="ac"/>
      <w:jc w:val="center"/>
    </w:pPr>
    <w:fldSimple w:instr="PAGE   \* MERGEFORMAT">
      <w:r w:rsidR="00D049DC">
        <w:rPr>
          <w:noProof/>
        </w:rPr>
        <w:t>2</w:t>
      </w:r>
    </w:fldSimple>
  </w:p>
  <w:p w:rsidR="0025141C" w:rsidRDefault="002514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86"/>
    <w:multiLevelType w:val="hybridMultilevel"/>
    <w:tmpl w:val="D4F8C174"/>
    <w:lvl w:ilvl="0" w:tplc="1E1ED82E">
      <w:start w:val="2"/>
      <w:numFmt w:val="decimal"/>
      <w:lvlText w:val="%1"/>
      <w:lvlJc w:val="left"/>
      <w:pPr>
        <w:ind w:left="102" w:hanging="554"/>
      </w:pPr>
      <w:rPr>
        <w:lang w:val="ru-RU" w:eastAsia="ru-RU" w:bidi="ru-RU"/>
      </w:rPr>
    </w:lvl>
    <w:lvl w:ilvl="1" w:tplc="D40C70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8296EA">
      <w:numFmt w:val="bullet"/>
      <w:lvlText w:val="•"/>
      <w:lvlJc w:val="left"/>
      <w:pPr>
        <w:ind w:left="1993" w:hanging="554"/>
      </w:pPr>
      <w:rPr>
        <w:lang w:val="ru-RU" w:eastAsia="ru-RU" w:bidi="ru-RU"/>
      </w:rPr>
    </w:lvl>
    <w:lvl w:ilvl="3" w:tplc="2DE87CF4">
      <w:numFmt w:val="bullet"/>
      <w:lvlText w:val="•"/>
      <w:lvlJc w:val="left"/>
      <w:pPr>
        <w:ind w:left="2939" w:hanging="554"/>
      </w:pPr>
      <w:rPr>
        <w:lang w:val="ru-RU" w:eastAsia="ru-RU" w:bidi="ru-RU"/>
      </w:rPr>
    </w:lvl>
    <w:lvl w:ilvl="4" w:tplc="402C5B30">
      <w:numFmt w:val="bullet"/>
      <w:lvlText w:val="•"/>
      <w:lvlJc w:val="left"/>
      <w:pPr>
        <w:ind w:left="3886" w:hanging="554"/>
      </w:pPr>
      <w:rPr>
        <w:lang w:val="ru-RU" w:eastAsia="ru-RU" w:bidi="ru-RU"/>
      </w:rPr>
    </w:lvl>
    <w:lvl w:ilvl="5" w:tplc="B8AACD18">
      <w:numFmt w:val="bullet"/>
      <w:lvlText w:val="•"/>
      <w:lvlJc w:val="left"/>
      <w:pPr>
        <w:ind w:left="4833" w:hanging="554"/>
      </w:pPr>
      <w:rPr>
        <w:lang w:val="ru-RU" w:eastAsia="ru-RU" w:bidi="ru-RU"/>
      </w:rPr>
    </w:lvl>
    <w:lvl w:ilvl="6" w:tplc="9312C496">
      <w:numFmt w:val="bullet"/>
      <w:lvlText w:val="•"/>
      <w:lvlJc w:val="left"/>
      <w:pPr>
        <w:ind w:left="5779" w:hanging="554"/>
      </w:pPr>
      <w:rPr>
        <w:lang w:val="ru-RU" w:eastAsia="ru-RU" w:bidi="ru-RU"/>
      </w:rPr>
    </w:lvl>
    <w:lvl w:ilvl="7" w:tplc="66A2F57A">
      <w:numFmt w:val="bullet"/>
      <w:lvlText w:val="•"/>
      <w:lvlJc w:val="left"/>
      <w:pPr>
        <w:ind w:left="6726" w:hanging="554"/>
      </w:pPr>
      <w:rPr>
        <w:lang w:val="ru-RU" w:eastAsia="ru-RU" w:bidi="ru-RU"/>
      </w:rPr>
    </w:lvl>
    <w:lvl w:ilvl="8" w:tplc="E1308B84">
      <w:numFmt w:val="bullet"/>
      <w:lvlText w:val="•"/>
      <w:lvlJc w:val="left"/>
      <w:pPr>
        <w:ind w:left="7673" w:hanging="554"/>
      </w:pPr>
      <w:rPr>
        <w:lang w:val="ru-RU" w:eastAsia="ru-RU" w:bidi="ru-RU"/>
      </w:rPr>
    </w:lvl>
  </w:abstractNum>
  <w:abstractNum w:abstractNumId="1">
    <w:nsid w:val="1B4E2430"/>
    <w:multiLevelType w:val="multilevel"/>
    <w:tmpl w:val="065C394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2">
    <w:nsid w:val="1EEC0B8A"/>
    <w:multiLevelType w:val="hybridMultilevel"/>
    <w:tmpl w:val="D86EAD7E"/>
    <w:lvl w:ilvl="0" w:tplc="5D6E9800">
      <w:start w:val="2"/>
      <w:numFmt w:val="decimal"/>
      <w:lvlText w:val="%1"/>
      <w:lvlJc w:val="left"/>
      <w:pPr>
        <w:ind w:left="102" w:hanging="632"/>
      </w:pPr>
      <w:rPr>
        <w:lang w:val="ru-RU" w:eastAsia="ru-RU" w:bidi="ru-RU"/>
      </w:rPr>
    </w:lvl>
    <w:lvl w:ilvl="1" w:tplc="A82AF0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B27FAE">
      <w:numFmt w:val="bullet"/>
      <w:lvlText w:val="–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B1D49BEA">
      <w:numFmt w:val="bullet"/>
      <w:lvlText w:val="•"/>
      <w:lvlJc w:val="left"/>
      <w:pPr>
        <w:ind w:left="2939" w:hanging="219"/>
      </w:pPr>
      <w:rPr>
        <w:lang w:val="ru-RU" w:eastAsia="ru-RU" w:bidi="ru-RU"/>
      </w:rPr>
    </w:lvl>
    <w:lvl w:ilvl="4" w:tplc="DEB67E92">
      <w:numFmt w:val="bullet"/>
      <w:lvlText w:val="•"/>
      <w:lvlJc w:val="left"/>
      <w:pPr>
        <w:ind w:left="3886" w:hanging="219"/>
      </w:pPr>
      <w:rPr>
        <w:lang w:val="ru-RU" w:eastAsia="ru-RU" w:bidi="ru-RU"/>
      </w:rPr>
    </w:lvl>
    <w:lvl w:ilvl="5" w:tplc="1598B95C">
      <w:numFmt w:val="bullet"/>
      <w:lvlText w:val="•"/>
      <w:lvlJc w:val="left"/>
      <w:pPr>
        <w:ind w:left="4833" w:hanging="219"/>
      </w:pPr>
      <w:rPr>
        <w:lang w:val="ru-RU" w:eastAsia="ru-RU" w:bidi="ru-RU"/>
      </w:rPr>
    </w:lvl>
    <w:lvl w:ilvl="6" w:tplc="A4B439FA">
      <w:numFmt w:val="bullet"/>
      <w:lvlText w:val="•"/>
      <w:lvlJc w:val="left"/>
      <w:pPr>
        <w:ind w:left="5779" w:hanging="219"/>
      </w:pPr>
      <w:rPr>
        <w:lang w:val="ru-RU" w:eastAsia="ru-RU" w:bidi="ru-RU"/>
      </w:rPr>
    </w:lvl>
    <w:lvl w:ilvl="7" w:tplc="924E39A8">
      <w:numFmt w:val="bullet"/>
      <w:lvlText w:val="•"/>
      <w:lvlJc w:val="left"/>
      <w:pPr>
        <w:ind w:left="6726" w:hanging="219"/>
      </w:pPr>
      <w:rPr>
        <w:lang w:val="ru-RU" w:eastAsia="ru-RU" w:bidi="ru-RU"/>
      </w:rPr>
    </w:lvl>
    <w:lvl w:ilvl="8" w:tplc="5B6476E0">
      <w:numFmt w:val="bullet"/>
      <w:lvlText w:val="•"/>
      <w:lvlJc w:val="left"/>
      <w:pPr>
        <w:ind w:left="7673" w:hanging="219"/>
      </w:pPr>
      <w:rPr>
        <w:lang w:val="ru-RU" w:eastAsia="ru-RU" w:bidi="ru-RU"/>
      </w:rPr>
    </w:lvl>
  </w:abstractNum>
  <w:abstractNum w:abstractNumId="3">
    <w:nsid w:val="427705D1"/>
    <w:multiLevelType w:val="hybridMultilevel"/>
    <w:tmpl w:val="A56A875A"/>
    <w:lvl w:ilvl="0" w:tplc="0E82D308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A303876">
      <w:start w:val="1"/>
      <w:numFmt w:val="decimal"/>
      <w:lvlText w:val="%2."/>
      <w:lvlJc w:val="left"/>
      <w:pPr>
        <w:ind w:left="417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9A4E13CC">
      <w:numFmt w:val="bullet"/>
      <w:lvlText w:val="•"/>
      <w:lvlJc w:val="left"/>
      <w:pPr>
        <w:ind w:left="4778" w:hanging="281"/>
      </w:pPr>
      <w:rPr>
        <w:lang w:val="ru-RU" w:eastAsia="ru-RU" w:bidi="ru-RU"/>
      </w:rPr>
    </w:lvl>
    <w:lvl w:ilvl="3" w:tplc="BD82DB1C">
      <w:numFmt w:val="bullet"/>
      <w:lvlText w:val="•"/>
      <w:lvlJc w:val="left"/>
      <w:pPr>
        <w:ind w:left="5376" w:hanging="281"/>
      </w:pPr>
      <w:rPr>
        <w:lang w:val="ru-RU" w:eastAsia="ru-RU" w:bidi="ru-RU"/>
      </w:rPr>
    </w:lvl>
    <w:lvl w:ilvl="4" w:tplc="58A87728">
      <w:numFmt w:val="bullet"/>
      <w:lvlText w:val="•"/>
      <w:lvlJc w:val="left"/>
      <w:pPr>
        <w:ind w:left="5975" w:hanging="281"/>
      </w:pPr>
      <w:rPr>
        <w:lang w:val="ru-RU" w:eastAsia="ru-RU" w:bidi="ru-RU"/>
      </w:rPr>
    </w:lvl>
    <w:lvl w:ilvl="5" w:tplc="D556D4D8">
      <w:numFmt w:val="bullet"/>
      <w:lvlText w:val="•"/>
      <w:lvlJc w:val="left"/>
      <w:pPr>
        <w:ind w:left="6573" w:hanging="281"/>
      </w:pPr>
      <w:rPr>
        <w:lang w:val="ru-RU" w:eastAsia="ru-RU" w:bidi="ru-RU"/>
      </w:rPr>
    </w:lvl>
    <w:lvl w:ilvl="6" w:tplc="F43C4114">
      <w:numFmt w:val="bullet"/>
      <w:lvlText w:val="•"/>
      <w:lvlJc w:val="left"/>
      <w:pPr>
        <w:ind w:left="7172" w:hanging="281"/>
      </w:pPr>
      <w:rPr>
        <w:lang w:val="ru-RU" w:eastAsia="ru-RU" w:bidi="ru-RU"/>
      </w:rPr>
    </w:lvl>
    <w:lvl w:ilvl="7" w:tplc="FA285E52">
      <w:numFmt w:val="bullet"/>
      <w:lvlText w:val="•"/>
      <w:lvlJc w:val="left"/>
      <w:pPr>
        <w:ind w:left="7770" w:hanging="281"/>
      </w:pPr>
      <w:rPr>
        <w:lang w:val="ru-RU" w:eastAsia="ru-RU" w:bidi="ru-RU"/>
      </w:rPr>
    </w:lvl>
    <w:lvl w:ilvl="8" w:tplc="FDCE7F88">
      <w:numFmt w:val="bullet"/>
      <w:lvlText w:val="•"/>
      <w:lvlJc w:val="left"/>
      <w:pPr>
        <w:ind w:left="8369" w:hanging="281"/>
      </w:pPr>
      <w:rPr>
        <w:lang w:val="ru-RU" w:eastAsia="ru-RU" w:bidi="ru-RU"/>
      </w:rPr>
    </w:lvl>
  </w:abstractNum>
  <w:abstractNum w:abstractNumId="4">
    <w:nsid w:val="434C73B8"/>
    <w:multiLevelType w:val="hybridMultilevel"/>
    <w:tmpl w:val="F75069E6"/>
    <w:lvl w:ilvl="0" w:tplc="FB300A98">
      <w:start w:val="1"/>
      <w:numFmt w:val="decimal"/>
      <w:lvlText w:val="%1"/>
      <w:lvlJc w:val="left"/>
      <w:pPr>
        <w:ind w:left="102" w:hanging="708"/>
      </w:pPr>
      <w:rPr>
        <w:lang w:val="ru-RU" w:eastAsia="ru-RU" w:bidi="ru-RU"/>
      </w:rPr>
    </w:lvl>
    <w:lvl w:ilvl="1" w:tplc="C89E0A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6C1D90">
      <w:numFmt w:val="bullet"/>
      <w:lvlText w:val="•"/>
      <w:lvlJc w:val="left"/>
      <w:pPr>
        <w:ind w:left="1993" w:hanging="708"/>
      </w:pPr>
      <w:rPr>
        <w:lang w:val="ru-RU" w:eastAsia="ru-RU" w:bidi="ru-RU"/>
      </w:rPr>
    </w:lvl>
    <w:lvl w:ilvl="3" w:tplc="64D4802A">
      <w:numFmt w:val="bullet"/>
      <w:lvlText w:val="•"/>
      <w:lvlJc w:val="left"/>
      <w:pPr>
        <w:ind w:left="2939" w:hanging="708"/>
      </w:pPr>
      <w:rPr>
        <w:lang w:val="ru-RU" w:eastAsia="ru-RU" w:bidi="ru-RU"/>
      </w:rPr>
    </w:lvl>
    <w:lvl w:ilvl="4" w:tplc="62782BF2">
      <w:numFmt w:val="bullet"/>
      <w:lvlText w:val="•"/>
      <w:lvlJc w:val="left"/>
      <w:pPr>
        <w:ind w:left="3886" w:hanging="708"/>
      </w:pPr>
      <w:rPr>
        <w:lang w:val="ru-RU" w:eastAsia="ru-RU" w:bidi="ru-RU"/>
      </w:rPr>
    </w:lvl>
    <w:lvl w:ilvl="5" w:tplc="6B8C529E">
      <w:numFmt w:val="bullet"/>
      <w:lvlText w:val="•"/>
      <w:lvlJc w:val="left"/>
      <w:pPr>
        <w:ind w:left="4833" w:hanging="708"/>
      </w:pPr>
      <w:rPr>
        <w:lang w:val="ru-RU" w:eastAsia="ru-RU" w:bidi="ru-RU"/>
      </w:rPr>
    </w:lvl>
    <w:lvl w:ilvl="6" w:tplc="09789B48">
      <w:numFmt w:val="bullet"/>
      <w:lvlText w:val="•"/>
      <w:lvlJc w:val="left"/>
      <w:pPr>
        <w:ind w:left="5779" w:hanging="708"/>
      </w:pPr>
      <w:rPr>
        <w:lang w:val="ru-RU" w:eastAsia="ru-RU" w:bidi="ru-RU"/>
      </w:rPr>
    </w:lvl>
    <w:lvl w:ilvl="7" w:tplc="7F0C51B4">
      <w:numFmt w:val="bullet"/>
      <w:lvlText w:val="•"/>
      <w:lvlJc w:val="left"/>
      <w:pPr>
        <w:ind w:left="6726" w:hanging="708"/>
      </w:pPr>
      <w:rPr>
        <w:lang w:val="ru-RU" w:eastAsia="ru-RU" w:bidi="ru-RU"/>
      </w:rPr>
    </w:lvl>
    <w:lvl w:ilvl="8" w:tplc="D2827E9A">
      <w:numFmt w:val="bullet"/>
      <w:lvlText w:val="•"/>
      <w:lvlJc w:val="left"/>
      <w:pPr>
        <w:ind w:left="7673" w:hanging="708"/>
      </w:pPr>
      <w:rPr>
        <w:lang w:val="ru-RU" w:eastAsia="ru-RU" w:bidi="ru-RU"/>
      </w:rPr>
    </w:lvl>
  </w:abstractNum>
  <w:abstractNum w:abstractNumId="5">
    <w:nsid w:val="5DFB2BF6"/>
    <w:multiLevelType w:val="hybridMultilevel"/>
    <w:tmpl w:val="F5787C9E"/>
    <w:lvl w:ilvl="0" w:tplc="F0BAB44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6B5A1A63"/>
    <w:multiLevelType w:val="hybridMultilevel"/>
    <w:tmpl w:val="182225EC"/>
    <w:lvl w:ilvl="0" w:tplc="4B6CE4D6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F29BA4">
      <w:numFmt w:val="bullet"/>
      <w:lvlText w:val="•"/>
      <w:lvlJc w:val="left"/>
      <w:pPr>
        <w:ind w:left="1046" w:hanging="212"/>
      </w:pPr>
      <w:rPr>
        <w:lang w:val="ru-RU" w:eastAsia="ru-RU" w:bidi="ru-RU"/>
      </w:rPr>
    </w:lvl>
    <w:lvl w:ilvl="2" w:tplc="8A8CB3DE">
      <w:numFmt w:val="bullet"/>
      <w:lvlText w:val="•"/>
      <w:lvlJc w:val="left"/>
      <w:pPr>
        <w:ind w:left="1993" w:hanging="212"/>
      </w:pPr>
      <w:rPr>
        <w:lang w:val="ru-RU" w:eastAsia="ru-RU" w:bidi="ru-RU"/>
      </w:rPr>
    </w:lvl>
    <w:lvl w:ilvl="3" w:tplc="DBF868F8">
      <w:numFmt w:val="bullet"/>
      <w:lvlText w:val="•"/>
      <w:lvlJc w:val="left"/>
      <w:pPr>
        <w:ind w:left="2939" w:hanging="212"/>
      </w:pPr>
      <w:rPr>
        <w:lang w:val="ru-RU" w:eastAsia="ru-RU" w:bidi="ru-RU"/>
      </w:rPr>
    </w:lvl>
    <w:lvl w:ilvl="4" w:tplc="716CB59A">
      <w:numFmt w:val="bullet"/>
      <w:lvlText w:val="•"/>
      <w:lvlJc w:val="left"/>
      <w:pPr>
        <w:ind w:left="3886" w:hanging="212"/>
      </w:pPr>
      <w:rPr>
        <w:lang w:val="ru-RU" w:eastAsia="ru-RU" w:bidi="ru-RU"/>
      </w:rPr>
    </w:lvl>
    <w:lvl w:ilvl="5" w:tplc="4BEAA950">
      <w:numFmt w:val="bullet"/>
      <w:lvlText w:val="•"/>
      <w:lvlJc w:val="left"/>
      <w:pPr>
        <w:ind w:left="4833" w:hanging="212"/>
      </w:pPr>
      <w:rPr>
        <w:lang w:val="ru-RU" w:eastAsia="ru-RU" w:bidi="ru-RU"/>
      </w:rPr>
    </w:lvl>
    <w:lvl w:ilvl="6" w:tplc="EEFCCBB0">
      <w:numFmt w:val="bullet"/>
      <w:lvlText w:val="•"/>
      <w:lvlJc w:val="left"/>
      <w:pPr>
        <w:ind w:left="5779" w:hanging="212"/>
      </w:pPr>
      <w:rPr>
        <w:lang w:val="ru-RU" w:eastAsia="ru-RU" w:bidi="ru-RU"/>
      </w:rPr>
    </w:lvl>
    <w:lvl w:ilvl="7" w:tplc="CC6E48F2">
      <w:numFmt w:val="bullet"/>
      <w:lvlText w:val="•"/>
      <w:lvlJc w:val="left"/>
      <w:pPr>
        <w:ind w:left="6726" w:hanging="212"/>
      </w:pPr>
      <w:rPr>
        <w:lang w:val="ru-RU" w:eastAsia="ru-RU" w:bidi="ru-RU"/>
      </w:rPr>
    </w:lvl>
    <w:lvl w:ilvl="8" w:tplc="D6CCEF50">
      <w:numFmt w:val="bullet"/>
      <w:lvlText w:val="•"/>
      <w:lvlJc w:val="left"/>
      <w:pPr>
        <w:ind w:left="7673" w:hanging="212"/>
      </w:pPr>
      <w:rPr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65B4"/>
    <w:rsid w:val="000215D0"/>
    <w:rsid w:val="00023EBA"/>
    <w:rsid w:val="000255B9"/>
    <w:rsid w:val="000352F1"/>
    <w:rsid w:val="00036AD2"/>
    <w:rsid w:val="0006168F"/>
    <w:rsid w:val="00061EA7"/>
    <w:rsid w:val="000633AF"/>
    <w:rsid w:val="00080D36"/>
    <w:rsid w:val="00082773"/>
    <w:rsid w:val="0009397B"/>
    <w:rsid w:val="000B6A98"/>
    <w:rsid w:val="000C23D3"/>
    <w:rsid w:val="000E193B"/>
    <w:rsid w:val="000E6EF8"/>
    <w:rsid w:val="000F7023"/>
    <w:rsid w:val="001005ED"/>
    <w:rsid w:val="00110F7F"/>
    <w:rsid w:val="00116E9C"/>
    <w:rsid w:val="00123650"/>
    <w:rsid w:val="00127F6F"/>
    <w:rsid w:val="001365B4"/>
    <w:rsid w:val="00156781"/>
    <w:rsid w:val="0018056F"/>
    <w:rsid w:val="0018098C"/>
    <w:rsid w:val="001907D7"/>
    <w:rsid w:val="00192482"/>
    <w:rsid w:val="001979D9"/>
    <w:rsid w:val="001A0BBC"/>
    <w:rsid w:val="001C14A2"/>
    <w:rsid w:val="001C15D7"/>
    <w:rsid w:val="001E5530"/>
    <w:rsid w:val="0020155D"/>
    <w:rsid w:val="00214775"/>
    <w:rsid w:val="00216D66"/>
    <w:rsid w:val="0023541C"/>
    <w:rsid w:val="0025141C"/>
    <w:rsid w:val="00272A82"/>
    <w:rsid w:val="0027759B"/>
    <w:rsid w:val="0028335B"/>
    <w:rsid w:val="002869B0"/>
    <w:rsid w:val="002A4FFC"/>
    <w:rsid w:val="002C117D"/>
    <w:rsid w:val="002D5D00"/>
    <w:rsid w:val="002E0684"/>
    <w:rsid w:val="002F1058"/>
    <w:rsid w:val="002F682F"/>
    <w:rsid w:val="0034713C"/>
    <w:rsid w:val="0034742E"/>
    <w:rsid w:val="00354222"/>
    <w:rsid w:val="00355902"/>
    <w:rsid w:val="003617CD"/>
    <w:rsid w:val="00363472"/>
    <w:rsid w:val="00372846"/>
    <w:rsid w:val="00391862"/>
    <w:rsid w:val="00394667"/>
    <w:rsid w:val="003A026D"/>
    <w:rsid w:val="003A283E"/>
    <w:rsid w:val="003D78EB"/>
    <w:rsid w:val="003E7A53"/>
    <w:rsid w:val="00412B3E"/>
    <w:rsid w:val="00416D10"/>
    <w:rsid w:val="00422B5D"/>
    <w:rsid w:val="00436647"/>
    <w:rsid w:val="004540AB"/>
    <w:rsid w:val="00464847"/>
    <w:rsid w:val="00472878"/>
    <w:rsid w:val="00493DFA"/>
    <w:rsid w:val="004973A1"/>
    <w:rsid w:val="004A178C"/>
    <w:rsid w:val="004B2597"/>
    <w:rsid w:val="004C068B"/>
    <w:rsid w:val="004C6159"/>
    <w:rsid w:val="004D2641"/>
    <w:rsid w:val="004F5E16"/>
    <w:rsid w:val="00505780"/>
    <w:rsid w:val="005341CB"/>
    <w:rsid w:val="00536B42"/>
    <w:rsid w:val="0053736E"/>
    <w:rsid w:val="00546286"/>
    <w:rsid w:val="005658A6"/>
    <w:rsid w:val="005750AB"/>
    <w:rsid w:val="005B6FE5"/>
    <w:rsid w:val="005C3A68"/>
    <w:rsid w:val="005C53F4"/>
    <w:rsid w:val="005E1CC7"/>
    <w:rsid w:val="005E77CC"/>
    <w:rsid w:val="005E7BFC"/>
    <w:rsid w:val="0060167E"/>
    <w:rsid w:val="0061793F"/>
    <w:rsid w:val="00620DD5"/>
    <w:rsid w:val="00630924"/>
    <w:rsid w:val="00633319"/>
    <w:rsid w:val="00634663"/>
    <w:rsid w:val="00646BB6"/>
    <w:rsid w:val="00680AC8"/>
    <w:rsid w:val="006854C4"/>
    <w:rsid w:val="006A63B8"/>
    <w:rsid w:val="006B1D75"/>
    <w:rsid w:val="006B303B"/>
    <w:rsid w:val="006E74E5"/>
    <w:rsid w:val="006F65F0"/>
    <w:rsid w:val="00701347"/>
    <w:rsid w:val="00723F28"/>
    <w:rsid w:val="00735384"/>
    <w:rsid w:val="0073613F"/>
    <w:rsid w:val="00743DED"/>
    <w:rsid w:val="00746E36"/>
    <w:rsid w:val="007506B0"/>
    <w:rsid w:val="00775FF7"/>
    <w:rsid w:val="007958B6"/>
    <w:rsid w:val="007A2443"/>
    <w:rsid w:val="007A347C"/>
    <w:rsid w:val="007A49B3"/>
    <w:rsid w:val="007B71A8"/>
    <w:rsid w:val="007E1966"/>
    <w:rsid w:val="007E5BF3"/>
    <w:rsid w:val="007F4820"/>
    <w:rsid w:val="00830496"/>
    <w:rsid w:val="008362E9"/>
    <w:rsid w:val="00842F18"/>
    <w:rsid w:val="00854CC1"/>
    <w:rsid w:val="008649FF"/>
    <w:rsid w:val="0086656D"/>
    <w:rsid w:val="00867808"/>
    <w:rsid w:val="00885F50"/>
    <w:rsid w:val="00892EDC"/>
    <w:rsid w:val="008B02AF"/>
    <w:rsid w:val="008B2430"/>
    <w:rsid w:val="008B5E8C"/>
    <w:rsid w:val="008F4211"/>
    <w:rsid w:val="00905D29"/>
    <w:rsid w:val="00920B90"/>
    <w:rsid w:val="00922E00"/>
    <w:rsid w:val="0093379F"/>
    <w:rsid w:val="00942635"/>
    <w:rsid w:val="0094375E"/>
    <w:rsid w:val="00955B0B"/>
    <w:rsid w:val="00957617"/>
    <w:rsid w:val="00962D57"/>
    <w:rsid w:val="0096323E"/>
    <w:rsid w:val="00971D8D"/>
    <w:rsid w:val="00981E83"/>
    <w:rsid w:val="00994835"/>
    <w:rsid w:val="009A6F26"/>
    <w:rsid w:val="009B4447"/>
    <w:rsid w:val="009B5DA3"/>
    <w:rsid w:val="009B675B"/>
    <w:rsid w:val="009D1F45"/>
    <w:rsid w:val="009E439B"/>
    <w:rsid w:val="00A036A2"/>
    <w:rsid w:val="00A10F79"/>
    <w:rsid w:val="00A22AFA"/>
    <w:rsid w:val="00A237AB"/>
    <w:rsid w:val="00A40A7C"/>
    <w:rsid w:val="00A44781"/>
    <w:rsid w:val="00A63F37"/>
    <w:rsid w:val="00A67DED"/>
    <w:rsid w:val="00A80EDE"/>
    <w:rsid w:val="00A810FB"/>
    <w:rsid w:val="00A82E4E"/>
    <w:rsid w:val="00A97638"/>
    <w:rsid w:val="00AA5EBA"/>
    <w:rsid w:val="00AA5F3C"/>
    <w:rsid w:val="00AA7D7B"/>
    <w:rsid w:val="00AE2400"/>
    <w:rsid w:val="00AE767E"/>
    <w:rsid w:val="00AF29E1"/>
    <w:rsid w:val="00B04B58"/>
    <w:rsid w:val="00B15130"/>
    <w:rsid w:val="00B26FFC"/>
    <w:rsid w:val="00B46261"/>
    <w:rsid w:val="00B533EA"/>
    <w:rsid w:val="00B616A4"/>
    <w:rsid w:val="00B8745E"/>
    <w:rsid w:val="00BA2525"/>
    <w:rsid w:val="00BB6267"/>
    <w:rsid w:val="00BD37AD"/>
    <w:rsid w:val="00C268A3"/>
    <w:rsid w:val="00C36A30"/>
    <w:rsid w:val="00C60179"/>
    <w:rsid w:val="00C64451"/>
    <w:rsid w:val="00C721FD"/>
    <w:rsid w:val="00C74088"/>
    <w:rsid w:val="00C82490"/>
    <w:rsid w:val="00CA1524"/>
    <w:rsid w:val="00CA4742"/>
    <w:rsid w:val="00CA597D"/>
    <w:rsid w:val="00CB3731"/>
    <w:rsid w:val="00CB3D3F"/>
    <w:rsid w:val="00CC3BBE"/>
    <w:rsid w:val="00CC425D"/>
    <w:rsid w:val="00CC6461"/>
    <w:rsid w:val="00CD501D"/>
    <w:rsid w:val="00CF5153"/>
    <w:rsid w:val="00D03E58"/>
    <w:rsid w:val="00D049DC"/>
    <w:rsid w:val="00D302A4"/>
    <w:rsid w:val="00D7230C"/>
    <w:rsid w:val="00DA6834"/>
    <w:rsid w:val="00DB53CC"/>
    <w:rsid w:val="00DB6A0E"/>
    <w:rsid w:val="00DB779D"/>
    <w:rsid w:val="00DC602F"/>
    <w:rsid w:val="00DC7298"/>
    <w:rsid w:val="00DD2351"/>
    <w:rsid w:val="00DE34FF"/>
    <w:rsid w:val="00DE7F35"/>
    <w:rsid w:val="00E009D1"/>
    <w:rsid w:val="00E02548"/>
    <w:rsid w:val="00E21011"/>
    <w:rsid w:val="00E548C8"/>
    <w:rsid w:val="00E62BA6"/>
    <w:rsid w:val="00E663D7"/>
    <w:rsid w:val="00E836E7"/>
    <w:rsid w:val="00E85D91"/>
    <w:rsid w:val="00E85ED4"/>
    <w:rsid w:val="00E861AC"/>
    <w:rsid w:val="00EA2DAA"/>
    <w:rsid w:val="00EA79B5"/>
    <w:rsid w:val="00EB10BF"/>
    <w:rsid w:val="00EB634A"/>
    <w:rsid w:val="00EB6A7B"/>
    <w:rsid w:val="00EC4647"/>
    <w:rsid w:val="00EF461A"/>
    <w:rsid w:val="00F04875"/>
    <w:rsid w:val="00F17375"/>
    <w:rsid w:val="00F25260"/>
    <w:rsid w:val="00F27F4E"/>
    <w:rsid w:val="00F32503"/>
    <w:rsid w:val="00F7124F"/>
    <w:rsid w:val="00F841F2"/>
    <w:rsid w:val="00FA1798"/>
    <w:rsid w:val="00FA1BCE"/>
    <w:rsid w:val="00FA427A"/>
    <w:rsid w:val="00FA6520"/>
    <w:rsid w:val="00FB3FF2"/>
    <w:rsid w:val="00FC129A"/>
    <w:rsid w:val="00FC4F71"/>
    <w:rsid w:val="00FD08B5"/>
    <w:rsid w:val="00FE0B2A"/>
    <w:rsid w:val="00FF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8335B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97B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annotation reference"/>
    <w:basedOn w:val="a0"/>
    <w:uiPriority w:val="99"/>
    <w:semiHidden/>
    <w:rsid w:val="008304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30496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304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304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30496"/>
    <w:rPr>
      <w:b/>
      <w:bCs/>
    </w:rPr>
  </w:style>
  <w:style w:type="paragraph" w:styleId="a8">
    <w:name w:val="Balloon Text"/>
    <w:basedOn w:val="a"/>
    <w:link w:val="a9"/>
    <w:uiPriority w:val="99"/>
    <w:semiHidden/>
    <w:rsid w:val="0083049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0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09397B"/>
    <w:pPr>
      <w:ind w:left="720"/>
    </w:pPr>
  </w:style>
  <w:style w:type="paragraph" w:styleId="ab">
    <w:name w:val="TOC Heading"/>
    <w:basedOn w:val="1"/>
    <w:next w:val="a"/>
    <w:uiPriority w:val="99"/>
    <w:qFormat/>
    <w:rsid w:val="0009397B"/>
    <w:pPr>
      <w:outlineLvl w:val="9"/>
    </w:pPr>
  </w:style>
  <w:style w:type="paragraph" w:styleId="2">
    <w:name w:val="toc 2"/>
    <w:basedOn w:val="a"/>
    <w:next w:val="a"/>
    <w:autoRedefine/>
    <w:uiPriority w:val="99"/>
    <w:semiHidden/>
    <w:rsid w:val="0009397B"/>
    <w:pPr>
      <w:spacing w:after="100"/>
      <w:ind w:left="2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09397B"/>
    <w:pPr>
      <w:spacing w:after="10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09397B"/>
    <w:pPr>
      <w:spacing w:after="100"/>
      <w:ind w:left="44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c">
    <w:name w:val="header"/>
    <w:basedOn w:val="a"/>
    <w:link w:val="ad"/>
    <w:uiPriority w:val="99"/>
    <w:rsid w:val="000939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9397B"/>
  </w:style>
  <w:style w:type="paragraph" w:styleId="ae">
    <w:name w:val="footer"/>
    <w:basedOn w:val="a"/>
    <w:link w:val="af"/>
    <w:uiPriority w:val="99"/>
    <w:rsid w:val="000939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9397B"/>
  </w:style>
  <w:style w:type="paragraph" w:styleId="af0">
    <w:name w:val="Body Text"/>
    <w:basedOn w:val="a"/>
    <w:link w:val="af1"/>
    <w:uiPriority w:val="1"/>
    <w:semiHidden/>
    <w:unhideWhenUsed/>
    <w:qFormat/>
    <w:rsid w:val="004A178C"/>
    <w:pPr>
      <w:widowControl w:val="0"/>
      <w:autoSpaceDE w:val="0"/>
      <w:autoSpaceDN w:val="0"/>
      <w:spacing w:after="0" w:line="240" w:lineRule="auto"/>
      <w:ind w:left="102"/>
    </w:pPr>
    <w:rPr>
      <w:rFonts w:eastAsia="Times New Roman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4A178C"/>
    <w:rPr>
      <w:rFonts w:eastAsia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4A178C"/>
    <w:pPr>
      <w:widowControl w:val="0"/>
      <w:autoSpaceDE w:val="0"/>
      <w:autoSpaceDN w:val="0"/>
      <w:spacing w:before="1" w:after="0" w:line="240" w:lineRule="auto"/>
      <w:ind w:left="1190" w:hanging="280"/>
      <w:outlineLvl w:val="1"/>
    </w:pPr>
    <w:rPr>
      <w:rFonts w:eastAsia="Times New Roman"/>
      <w:b/>
      <w:bCs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928</Words>
  <Characters>5295</Characters>
  <Application>Microsoft Office Word</Application>
  <DocSecurity>0</DocSecurity>
  <Lines>44</Lines>
  <Paragraphs>12</Paragraphs>
  <ScaleCrop>false</ScaleCrop>
  <Company>Home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</dc:creator>
  <cp:lastModifiedBy>rev02</cp:lastModifiedBy>
  <cp:revision>7</cp:revision>
  <cp:lastPrinted>2013-12-18T04:01:00Z</cp:lastPrinted>
  <dcterms:created xsi:type="dcterms:W3CDTF">2019-04-08T10:33:00Z</dcterms:created>
  <dcterms:modified xsi:type="dcterms:W3CDTF">2019-04-11T10:20:00Z</dcterms:modified>
</cp:coreProperties>
</file>